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96702B"/>
          <w:spacing w:val="40"/>
          <w:sz w:val="14"/>
          <w:szCs w:val="14"/>
        </w:rPr>
        <w:t xml:space="preserve">INFINITY FORGE</w:t>
      </w:r>
      <w:r>
        <w:rPr>
          <w:rFonts w:ascii="Arial" w:cs="Arial" w:eastAsia="Arial" w:hAnsi="Arial"/>
          <w:color w:val="9AA3B2"/>
          <w:sz w:val="14"/>
          <w:szCs w:val="14"/>
        </w:rPr>
        <w:t xml:space="preserve">   →   </w:t>
      </w:r>
      <w:r>
        <w:rPr>
          <w:rFonts w:ascii="Arial" w:cs="Arial" w:eastAsia="Arial" w:hAnsi="Arial"/>
          <w:b/>
          <w:bCs/>
          <w:color w:val="D4521A"/>
          <w:spacing w:val="32"/>
          <w:sz w:val="16"/>
          <w:szCs w:val="16"/>
        </w:rPr>
        <w:t xml:space="preserve">CRUCIBLE</w:t>
      </w:r>
    </w:p>
    <w:p>
      <w:pPr>
        <w:pBdr>
          <w:bottom w:val="single" w:color="D4521A" w:sz="10" w:space="8"/>
        </w:pBdr>
        <w:spacing w:after="300"/>
      </w:pPr>
      <w:r>
        <w:rPr>
          <w:rFonts w:ascii="Arial" w:cs="Arial" w:eastAsia="Arial" w:hAnsi="Arial"/>
          <w:color w:val="9AA3B2"/>
          <w:spacing w:val="30"/>
          <w:sz w:val="13"/>
          <w:szCs w:val="13"/>
        </w:rPr>
        <w:t xml:space="preserve">ARTIFACT LIBRARY  ·  TEMPLATE  ·  STAGE: VALIDATION</w:t>
      </w:r>
    </w:p>
    <w:p>
      <w:pPr>
        <w:spacing w:after="120" w:before="0" w:line="480"/>
      </w:pPr>
      <w:r>
        <w:rPr>
          <w:rFonts w:ascii="Arial" w:cs="Arial" w:eastAsia="Arial" w:hAnsi="Arial"/>
          <w:b/>
          <w:bCs/>
          <w:color w:val="D4521A"/>
          <w:sz w:val="48"/>
          <w:szCs w:val="48"/>
        </w:rPr>
        <w:t xml:space="preserve">Customer Discovery Synthesis Template</w:t>
      </w:r>
    </w:p>
    <w:p>
      <w:pPr>
        <w:spacing w:after="240" w:before="0" w:line="280"/>
      </w:pPr>
      <w:r>
        <w:rPr>
          <w:rFonts w:ascii="Arial" w:cs="Arial" w:eastAsia="Arial" w:hAnsi="Arial"/>
          <w:i/>
          <w:iCs/>
          <w:color w:val="6B7688"/>
          <w:sz w:val="24"/>
          <w:szCs w:val="24"/>
        </w:rPr>
        <w:t xml:space="preserve">Turning interviews into a decision the wedge can be held to.</w:t>
      </w:r>
    </w:p>
    <w:p>
      <w:pPr>
        <w:spacing w:after="200" w:before="0" w:line="320"/>
      </w:pPr>
      <w:r>
        <w:rPr>
          <w:rFonts w:ascii="Arial" w:cs="Arial" w:eastAsia="Arial" w:hAnsi="Arial"/>
          <w:color w:val="3C4657"/>
          <w:sz w:val="19"/>
          <w:szCs w:val="19"/>
        </w:rPr>
        <w:t xml:space="preserve">The instrument that converts a set of discovery conversations into a defensible read on the wedge. It separates what was observed from what was inferred, scores each theme by frequency and by severity, and ends in an explicit call: the wedge is confirmed, the wedge needs re-cutting, or the segment is wrong. Its purpose is to make the Validation gate answerable with evidence rather than enthusiasm.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96702B"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96702B"/>
                <w:spacing w:val="24"/>
                <w:sz w:val="15"/>
                <w:szCs w:val="15"/>
              </w:rPr>
              <w:t xml:space="preserve">Editable working copy</w:t>
            </w:r>
          </w:p>
          <w:p>
            <w:pPr>
              <w:spacing w:after="60" w:before="0" w:line="280"/>
            </w:pPr>
            <w:r>
              <w:rPr>
                <w:rFonts w:ascii="Arial" w:cs="Arial" w:eastAsia="Arial" w:hAnsi="Arial"/>
                <w:color w:val="3C4657"/>
                <w:sz w:val="19"/>
                <w:szCs w:val="19"/>
              </w:rPr>
              <w:t xml:space="preserve">This is the fill-in version of a redacted sample from the Crucible artifact library. The structure is complete and usable. Every italic, shaded cell is a prompt to be replaced with your own content. All illustrative examples are composites and do not describe any actual engagement, company, or transaction.</w:t>
            </w:r>
          </w:p>
          <w:p>
            <w:pPr>
              <w:spacing w:after="60" w:before="0" w:line="280"/>
            </w:pPr>
            <w:r>
              <w:rPr>
                <w:rFonts w:ascii="Arial" w:cs="Arial" w:eastAsia="Arial" w:hAnsi="Arial"/>
                <w:color w:val="3C4657"/>
                <w:sz w:val="19"/>
                <w:szCs w:val="19"/>
              </w:rPr>
              <w:t xml:space="preserve">Companion PDF: the same artifact, typeset for reading and circulation. Both are available at infinityforge.ai/proof#artifacts.</w:t>
            </w:r>
          </w:p>
        </w:tc>
      </w:tr>
    </w:tbl>
    <w:p>
      <w:pPr>
        <w:spacing w:after="200"/>
      </w:pPr>
    </w:p>
    <w:p>
      <w:pPr>
        <w:pStyle w:val="Heading1"/>
        <w:pBdr>
          <w:bottom w:val="single" w:color="D4521A" w:sz="8" w:space="6"/>
        </w:pBdr>
        <w:spacing w:after="60" w:before="400"/>
      </w:pPr>
      <w:r>
        <w:rPr>
          <w:rFonts w:ascii="Arial" w:cs="Arial" w:eastAsia="Arial" w:hAnsi="Arial"/>
          <w:b/>
          <w:bCs/>
          <w:color w:val="14181F"/>
          <w:sz w:val="30"/>
          <w:szCs w:val="30"/>
        </w:rPr>
        <w:t xml:space="preserve">How to use this</w:t>
      </w:r>
    </w:p>
    <w:p>
      <w:pPr>
        <w:spacing w:after="140"/>
      </w:pPr>
    </w:p>
    <w:p>
      <w:pPr>
        <w:spacing w:after="200" w:before="0" w:line="280"/>
      </w:pPr>
      <w:r>
        <w:rPr>
          <w:rFonts w:ascii="Arial" w:cs="Arial" w:eastAsia="Arial" w:hAnsi="Arial"/>
          <w:color w:val="3C4657"/>
          <w:sz w:val="22"/>
          <w:szCs w:val="22"/>
        </w:rPr>
        <w:t xml:space="preserve">Discovery produces conversations. The Validation gate requires a decision. This template is the instrument in between — the thing that converts a pile of notes into a defensible read on whether the wedge holds.</w:t>
      </w:r>
    </w:p>
    <w:p>
      <w:pPr>
        <w:spacing w:after="140" w:before="0" w:line="280"/>
      </w:pPr>
      <w:r>
        <w:rPr>
          <w:rFonts w:ascii="Arial" w:cs="Arial" w:eastAsia="Arial" w:hAnsi="Arial"/>
          <w:color w:val="14181F"/>
          <w:sz w:val="20"/>
          <w:szCs w:val="20"/>
        </w:rPr>
        <w:t xml:space="preserve">It is built around one distinction that most synthesis skips: the difference between what a buyer did and what a buyer said. Both are recorded. They are never combined into a single finding. A theme supported only by statements is graded differently from a theme supported by observed behavior, and the grading determines what the gate is allowed to conclude.</w:t>
      </w:r>
    </w:p>
    <w:p>
      <w:pPr>
        <w:pStyle w:val="Heading2"/>
        <w:spacing w:after="120" w:before="300"/>
      </w:pPr>
      <w:r>
        <w:rPr>
          <w:rFonts w:ascii="Arial" w:cs="Arial" w:eastAsia="Arial" w:hAnsi="Arial"/>
          <w:b/>
          <w:bCs/>
          <w:caps/>
          <w:color w:val="A83E12"/>
          <w:spacing w:val="24"/>
          <w:sz w:val="17"/>
          <w:szCs w:val="17"/>
        </w:rPr>
        <w:t xml:space="preserve">When to run this</w:t>
      </w:r>
    </w:p>
    <w:p>
      <w:pPr>
        <w:pStyle w:val="ListParagraph"/>
        <w:numPr>
          <w:ilvl w:val="0"/>
          <w:numId w:val="2"/>
        </w:numPr>
        <w:spacing w:after="80" w:line="280"/>
      </w:pPr>
      <w:r>
        <w:rPr>
          <w:rFonts w:ascii="Arial" w:cs="Arial" w:eastAsia="Arial" w:hAnsi="Arial"/>
          <w:color w:val="14181F"/>
          <w:sz w:val="20"/>
          <w:szCs w:val="20"/>
        </w:rPr>
        <w:t xml:space="preserve">After twelve to twenty conversations within a single hypothesized segment. Below twelve, frequency counts are noise. Across mixed segments, the counts are meaningless regardless of sample size.</w:t>
      </w:r>
    </w:p>
    <w:p>
      <w:pPr>
        <w:pStyle w:val="ListParagraph"/>
        <w:numPr>
          <w:ilvl w:val="0"/>
          <w:numId w:val="2"/>
        </w:numPr>
        <w:spacing w:after="80" w:line="280"/>
      </w:pPr>
      <w:r>
        <w:rPr>
          <w:rFonts w:ascii="Arial" w:cs="Arial" w:eastAsia="Arial" w:hAnsi="Arial"/>
          <w:color w:val="14181F"/>
          <w:sz w:val="20"/>
          <w:szCs w:val="20"/>
        </w:rPr>
        <w:t xml:space="preserve">Before, not after, any pricing decision or product commitment that the discovery was meant to inform.</w:t>
      </w:r>
    </w:p>
    <w:p>
      <w:pPr>
        <w:pStyle w:val="ListParagraph"/>
        <w:numPr>
          <w:ilvl w:val="0"/>
          <w:numId w:val="2"/>
        </w:numPr>
        <w:spacing w:after="80" w:line="280"/>
      </w:pPr>
      <w:r>
        <w:rPr>
          <w:rFonts w:ascii="Arial" w:cs="Arial" w:eastAsia="Arial" w:hAnsi="Arial"/>
          <w:color w:val="14181F"/>
          <w:sz w:val="20"/>
          <w:szCs w:val="20"/>
        </w:rPr>
        <w:t xml:space="preserve">Again after any material re-cut of the wedge. A re-cut wedge invalidates the previous synthesis; it does not amend it.</w:t>
      </w:r>
    </w:p>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4521A" w:sz="12"/>
              <w:left w:val="single" w:color="D8DDE5" w:sz="1"/>
              <w:bottom w:val="single" w:color="D8DDE5" w:sz="1"/>
              <w:right w:val="single" w:color="D8DDE5" w:sz="1"/>
            </w:tcBorders>
            <w:shd w:fill="F6F7F9" w:val="clear"/>
            <w:tcMar>
              <w:top w:type="dxa" w:w="160"/>
              <w:left w:type="dxa" w:w="180"/>
              <w:bottom w:type="dxa" w:w="160"/>
              <w:right w:type="dxa" w:w="180"/>
            </w:tcMar>
          </w:tcPr>
          <w:p>
            <w:pPr>
              <w:spacing w:after="90" w:before="0" w:line="280"/>
            </w:pPr>
            <w:r>
              <w:rPr>
                <w:rFonts w:ascii="Arial" w:cs="Arial" w:eastAsia="Arial" w:hAnsi="Arial"/>
                <w:b/>
                <w:bCs/>
                <w:caps/>
                <w:color w:val="D4521A"/>
                <w:spacing w:val="24"/>
                <w:sz w:val="15"/>
                <w:szCs w:val="15"/>
              </w:rPr>
              <w:t xml:space="preserve">The rule</w:t>
            </w:r>
          </w:p>
          <w:p>
            <w:pPr>
              <w:spacing w:after="60" w:before="0" w:line="280"/>
            </w:pPr>
            <w:r>
              <w:rPr>
                <w:rFonts w:ascii="Arial" w:cs="Arial" w:eastAsia="Arial" w:hAnsi="Arial"/>
                <w:color w:val="3C4657"/>
                <w:sz w:val="19"/>
                <w:szCs w:val="19"/>
              </w:rPr>
              <w:t xml:space="preserve">Observed behavior outranks stated intent, always. A buyer who has switched vendors twice in three years tells you more about switching cost than any number of people saying they are open to change. Where the two conflict, the synthesis follows the behavior and records the conflict.</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01 · Scope and sample</w:t>
      </w:r>
    </w:p>
    <w:p>
      <w:pPr>
        <w:spacing w:after="1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22"/>
        <w:gridCol w:w="7258"/>
      </w:tblGrid>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Wedge under test</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Buyer, use case, and value proposition as stated at the start of discovery — verbatim, not as revised since</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Hypothesis</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specific thing discovery was meant to confirm or break</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Period</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First conversation to last</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Conversations</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Total, and how many are in scope for this synthesis</w:t>
            </w:r>
          </w:p>
        </w:tc>
      </w:tr>
      <w:tr>
        <w:tc>
          <w:tcPr>
            <w:tcW w:type="dxa" w:w="2822"/>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Synthesized by</w:t>
            </w:r>
          </w:p>
        </w:tc>
        <w:tc>
          <w:tcPr>
            <w:tcW w:type="dxa" w:w="725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Name, date. Note whether the synthesizer also ran the interviews.</w:t>
            </w:r>
          </w:p>
        </w:tc>
      </w:tr>
    </w:tbl>
    <w:p>
      <w:pPr>
        <w:pStyle w:val="Heading2"/>
        <w:spacing w:after="120" w:before="300"/>
      </w:pPr>
      <w:r>
        <w:rPr>
          <w:rFonts w:ascii="Arial" w:cs="Arial" w:eastAsia="Arial" w:hAnsi="Arial"/>
          <w:b/>
          <w:bCs/>
          <w:caps/>
          <w:color w:val="A83E12"/>
          <w:spacing w:val="24"/>
          <w:sz w:val="17"/>
          <w:szCs w:val="17"/>
        </w:rPr>
        <w:t xml:space="preserve">Sample composition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21"/>
        <w:gridCol w:w="1210"/>
        <w:gridCol w:w="2419"/>
        <w:gridCol w:w="3830"/>
      </w:tblGrid>
      <w:tr>
        <w:trPr>
          <w:tblHeader/>
        </w:trPr>
        <w:tc>
          <w:tcPr>
            <w:tcW w:type="dxa" w:w="262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Segment</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Count</w:t>
            </w:r>
          </w:p>
        </w:tc>
        <w:tc>
          <w:tcPr>
            <w:tcW w:type="dxa" w:w="241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Role of person spoken to</w:t>
            </w:r>
          </w:p>
        </w:tc>
        <w:tc>
          <w:tcPr>
            <w:tcW w:type="dxa" w:w="383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Budget authority · sourcing channel</w:t>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Primary target segment</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Economic buyer / user / influencer</w:t>
            </w:r>
          </w:p>
        </w:tc>
        <w:tc>
          <w:tcPr>
            <w:tcW w:type="dxa" w:w="383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Yes / no / partial — and how they were reached</w:t>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Adjacent segment</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83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62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Out of scope, spoken to anyway</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241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83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Excluded from counts; kept for the record</w:t>
            </w:r>
          </w:p>
        </w:tc>
      </w:tr>
    </w:tbl>
    <w:p>
      <w:pPr>
        <w:pStyle w:val="Heading2"/>
        <w:spacing w:after="120" w:before="300"/>
      </w:pPr>
      <w:r>
        <w:rPr>
          <w:rFonts w:ascii="Arial" w:cs="Arial" w:eastAsia="Arial" w:hAnsi="Arial"/>
          <w:b/>
          <w:bCs/>
          <w:caps/>
          <w:color w:val="A83E12"/>
          <w:spacing w:val="24"/>
          <w:sz w:val="17"/>
          <w:szCs w:val="17"/>
        </w:rPr>
        <w:t xml:space="preserve">Sample bias — stated honestly</w:t>
      </w:r>
    </w:p>
    <w:p>
      <w:pPr>
        <w:spacing w:after="160" w:before="0" w:line="280"/>
      </w:pPr>
      <w:r>
        <w:rPr>
          <w:rFonts w:ascii="Arial" w:cs="Arial" w:eastAsia="Arial" w:hAnsi="Arial"/>
          <w:i/>
          <w:iCs/>
          <w:color w:val="6B7688"/>
          <w:sz w:val="17"/>
          <w:szCs w:val="17"/>
        </w:rPr>
        <w:t xml:space="preserve">Every discovery sample is biased. The question is whether the bias is known.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7661"/>
      </w:tblGrid>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Sourcing bias</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Warm intros over-represent people predisposed to be agreeable. State the split: warm / cold / inbound.</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Role bias</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Users are easy to reach and cannot buy. Economic buyers are hard to reach and are the ones that matter. State the ratio.</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Survivor bias</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People who agreed to a call are not a random draw. Note how many declined or did not respond.</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Interviewer bias</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Where the founder ran the interviews, note it. Founders get more encouragement and less truth.</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02 · Evidence ledger</w:t>
      </w:r>
    </w:p>
    <w:p>
      <w:pPr>
        <w:spacing w:after="140"/>
      </w:pPr>
    </w:p>
    <w:p>
      <w:pPr>
        <w:spacing w:after="160" w:before="0" w:line="280"/>
      </w:pPr>
      <w:r>
        <w:rPr>
          <w:rFonts w:ascii="Arial" w:cs="Arial" w:eastAsia="Arial" w:hAnsi="Arial"/>
          <w:i/>
          <w:iCs/>
          <w:color w:val="6B7688"/>
          <w:sz w:val="17"/>
          <w:szCs w:val="17"/>
        </w:rPr>
        <w:t xml:space="preserve">One row per conversation. This is the raw layer; the themes in section 3 must be traceable back to rows here.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806"/>
        <w:gridCol w:w="1814"/>
        <w:gridCol w:w="1411"/>
        <w:gridCol w:w="3024"/>
        <w:gridCol w:w="3024"/>
      </w:tblGrid>
      <w:tr>
        <w:trPr>
          <w:tblHeader/>
        </w:trPr>
        <w:tc>
          <w:tcPr>
            <w:tcW w:type="dxa" w:w="80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ID</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Organization type</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Role</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Observed behavior</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Stated intent</w:t>
            </w:r>
          </w:p>
        </w:tc>
      </w:tr>
      <w:tr>
        <w:tc>
          <w:tcPr>
            <w:tcW w:type="dxa" w:w="80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C-01</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Coded, not named</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they have already done, spent, built, or switched. Past tense only.</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they say they would do. Future tense. Discounted accordingly.</w:t>
            </w:r>
          </w:p>
        </w:tc>
      </w:tr>
      <w:tr>
        <w:tc>
          <w:tcPr>
            <w:tcW w:type="dxa" w:w="80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C-02</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80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C-03</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806"/>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sz="0"/>
              <w:left w:val="single" w:color="C8943A" w:sz="14"/>
              <w:bottom w:val="none" w:sz="0"/>
              <w:right w:val="none" w:sz="0"/>
            </w:tcBorders>
            <w:shd w:fill="FDF7F2" w:val="clear"/>
            <w:tcMar>
              <w:top w:type="dxa" w:w="150"/>
              <w:left w:type="dxa" w:w="180"/>
              <w:bottom w:type="dxa" w:w="150"/>
              <w:right w:type="dxa" w:w="180"/>
            </w:tcMar>
          </w:tcPr>
          <w:p>
            <w:pPr>
              <w:spacing w:after="90" w:before="0" w:line="280"/>
            </w:pPr>
            <w:r>
              <w:rPr>
                <w:rFonts w:ascii="Arial" w:cs="Arial" w:eastAsia="Arial" w:hAnsi="Arial"/>
                <w:b/>
                <w:bCs/>
                <w:caps/>
                <w:color w:val="96702B"/>
                <w:spacing w:val="22"/>
                <w:sz w:val="14"/>
                <w:szCs w:val="14"/>
              </w:rPr>
              <w:t xml:space="preserve">Illustrative composite — not a real engagement</w:t>
            </w:r>
          </w:p>
          <w:p>
            <w:pPr>
              <w:spacing w:after="60" w:before="0" w:line="280"/>
            </w:pPr>
            <w:r>
              <w:rPr>
                <w:rFonts w:ascii="Arial" w:cs="Arial" w:eastAsia="Arial" w:hAnsi="Arial"/>
                <w:b/>
                <w:bCs/>
                <w:color w:val="3C4657"/>
                <w:sz w:val="18"/>
                <w:szCs w:val="18"/>
              </w:rPr>
              <w:t xml:space="preserve">C-07 · Regional health system · VP Operations.</w:t>
            </w:r>
          </w:p>
          <w:p>
            <w:pPr>
              <w:spacing w:after="60" w:before="0" w:line="280"/>
            </w:pPr>
            <w:r>
              <w:rPr>
                <w:rFonts w:ascii="Arial" w:cs="Arial" w:eastAsia="Arial" w:hAnsi="Arial"/>
                <w:i/>
                <w:iCs/>
                <w:color w:val="3C4657"/>
                <w:sz w:val="18"/>
                <w:szCs w:val="18"/>
              </w:rPr>
              <w:t xml:space="preserve">Observed: </w:t>
            </w:r>
            <w:r>
              <w:rPr>
                <w:rFonts w:ascii="Arial" w:cs="Arial" w:eastAsia="Arial" w:hAnsi="Arial"/>
                <w:color w:val="3C4657"/>
                <w:sz w:val="18"/>
                <w:szCs w:val="18"/>
              </w:rPr>
              <w:t xml:space="preserve">replaced their scheduling vendor eighteen months ago at a stated cost of [REDACTED]; runs a two-person team maintaining spreadsheets to compensate for the replacement’s gaps; has an unspent line item for workflow tooling in the current fiscal year.</w:t>
            </w:r>
          </w:p>
          <w:p>
            <w:pPr>
              <w:spacing w:after="60" w:before="0" w:line="280"/>
            </w:pPr>
            <w:r>
              <w:rPr>
                <w:rFonts w:ascii="Arial" w:cs="Arial" w:eastAsia="Arial" w:hAnsi="Arial"/>
                <w:i/>
                <w:iCs/>
                <w:color w:val="3C4657"/>
                <w:sz w:val="18"/>
                <w:szCs w:val="18"/>
              </w:rPr>
              <w:t xml:space="preserve">Stated: </w:t>
            </w:r>
            <w:r>
              <w:rPr>
                <w:rFonts w:ascii="Arial" w:cs="Arial" w:eastAsia="Arial" w:hAnsi="Arial"/>
                <w:color w:val="3C4657"/>
                <w:sz w:val="18"/>
                <w:szCs w:val="18"/>
              </w:rPr>
              <w:t xml:space="preserve">“We would absolutely pilot something like this in Q3.”</w:t>
            </w:r>
          </w:p>
          <w:p>
            <w:pPr>
              <w:spacing w:after="60" w:before="0" w:line="280"/>
            </w:pPr>
            <w:r>
              <w:rPr>
                <w:rFonts w:ascii="Arial" w:cs="Arial" w:eastAsia="Arial" w:hAnsi="Arial"/>
                <w:b/>
                <w:bCs/>
                <w:color w:val="3C4657"/>
                <w:sz w:val="18"/>
                <w:szCs w:val="18"/>
              </w:rPr>
              <w:t xml:space="preserve">The observed column is the finding. </w:t>
            </w:r>
            <w:r>
              <w:rPr>
                <w:rFonts w:ascii="Arial" w:cs="Arial" w:eastAsia="Arial" w:hAnsi="Arial"/>
                <w:color w:val="3C4657"/>
                <w:sz w:val="18"/>
                <w:szCs w:val="18"/>
              </w:rPr>
              <w:t xml:space="preserve">They have demonstrated willingness to switch, they are already paying two salaries for the workaround, and the budget exists. The Q3 statement adds nothing that the first three facts did not already establish, and is the part most likely to be wrong.</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03 · Themes</w:t>
      </w:r>
    </w:p>
    <w:p>
      <w:pPr>
        <w:spacing w:after="140"/>
      </w:pPr>
    </w:p>
    <w:p>
      <w:pPr>
        <w:spacing w:after="160" w:before="0" w:line="280"/>
      </w:pPr>
      <w:r>
        <w:rPr>
          <w:rFonts w:ascii="Arial" w:cs="Arial" w:eastAsia="Arial" w:hAnsi="Arial"/>
          <w:i/>
          <w:iCs/>
          <w:color w:val="6B7688"/>
          <w:sz w:val="17"/>
          <w:szCs w:val="17"/>
        </w:rPr>
        <w:t xml:space="preserve">A theme requires at least three independent conversations. Two is an anecdote. Score each on frequency and severity separately — they are different variables and averaging them destroys the signal.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5"/>
        <w:gridCol w:w="3024"/>
        <w:gridCol w:w="1008"/>
        <w:gridCol w:w="1008"/>
        <w:gridCol w:w="1411"/>
        <w:gridCol w:w="3024"/>
      </w:tblGrid>
      <w:tr>
        <w:trPr>
          <w:tblHeader/>
        </w:trPr>
        <w:tc>
          <w:tcPr>
            <w:tcW w:type="dxa" w:w="605"/>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Theme</w:t>
            </w:r>
          </w:p>
        </w:tc>
        <w:tc>
          <w:tcPr>
            <w:tcW w:type="dxa" w:w="100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Freq.</w:t>
            </w:r>
          </w:p>
        </w:tc>
        <w:tc>
          <w:tcPr>
            <w:tcW w:type="dxa" w:w="100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Severity</w:t>
            </w:r>
          </w:p>
        </w:tc>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Support</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Conversation IDs · note</w:t>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1</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Stated as the buyer would state it, not as the company would like it stated</w:t>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 of N</w:t>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1–5</w:t>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Behavior / Stated / Mixed</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C-01, C-04, C-07…</w:t>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2</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3</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4</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60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5</w:t>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00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41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2"/>
        <w:spacing w:after="120" w:before="300"/>
      </w:pPr>
      <w:r>
        <w:rPr>
          <w:rFonts w:ascii="Arial" w:cs="Arial" w:eastAsia="Arial" w:hAnsi="Arial"/>
          <w:b/>
          <w:bCs/>
          <w:caps/>
          <w:color w:val="A83E12"/>
          <w:spacing w:val="24"/>
          <w:sz w:val="17"/>
          <w:szCs w:val="17"/>
        </w:rPr>
        <w:t xml:space="preserve">Severity scale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11"/>
        <w:gridCol w:w="3024"/>
        <w:gridCol w:w="5645"/>
      </w:tblGrid>
      <w:tr>
        <w:trPr>
          <w:tblHeader/>
        </w:trPr>
        <w:tc>
          <w:tcPr>
            <w:tcW w:type="dxa" w:w="141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Score</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Meaning</w:t>
            </w:r>
          </w:p>
        </w:tc>
        <w:tc>
          <w:tcPr>
            <w:tcW w:type="dxa" w:w="5645"/>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Test</w:t>
            </w:r>
          </w:p>
        </w:tc>
      </w:tr>
      <w:tr>
        <w:tc>
          <w:tcPr>
            <w:tcW w:type="dxa" w:w="1411"/>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5 · Acute</w:t>
            </w:r>
          </w:p>
        </w:tc>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Actively costing money or creating risk now.</w:t>
            </w:r>
          </w:p>
        </w:tc>
        <w:tc>
          <w:tcPr>
            <w:tcW w:type="dxa" w:w="564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They have already spent money trying to solve it.</w:t>
            </w:r>
          </w:p>
        </w:tc>
      </w:tr>
      <w:tr>
        <w:tc>
          <w:tcPr>
            <w:tcW w:type="dxa" w:w="1411"/>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4 · Pressing</w:t>
            </w:r>
          </w:p>
        </w:tc>
        <w:tc>
          <w:tcPr>
            <w:tcW w:type="dxa" w:w="3024"/>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Named in their own priorities for this year.</w:t>
            </w:r>
          </w:p>
        </w:tc>
        <w:tc>
          <w:tcPr>
            <w:tcW w:type="dxa" w:w="5645"/>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It appears in a plan, a budget, or someone’s objectives.</w:t>
            </w:r>
          </w:p>
        </w:tc>
      </w:tr>
      <w:tr>
        <w:tc>
          <w:tcPr>
            <w:tcW w:type="dxa" w:w="1411"/>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3 · Recognized</w:t>
            </w:r>
          </w:p>
        </w:tc>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Acknowledged as a real problem, unowned.</w:t>
            </w:r>
          </w:p>
        </w:tc>
        <w:tc>
          <w:tcPr>
            <w:tcW w:type="dxa" w:w="564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They agree it is a problem when asked. Nobody is accountable for it.</w:t>
            </w:r>
          </w:p>
        </w:tc>
      </w:tr>
      <w:tr>
        <w:tc>
          <w:tcPr>
            <w:tcW w:type="dxa" w:w="1411"/>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2 · Latent</w:t>
            </w:r>
          </w:p>
        </w:tc>
        <w:tc>
          <w:tcPr>
            <w:tcW w:type="dxa" w:w="3024"/>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Visible to the interviewer, not to the buyer.</w:t>
            </w:r>
          </w:p>
        </w:tc>
        <w:tc>
          <w:tcPr>
            <w:tcW w:type="dxa" w:w="5645"/>
            <w:tcBorders>
              <w:top w:val="single" w:color="D8DDE5" w:sz="1"/>
              <w:left w:val="single" w:color="D8DDE5" w:sz="1"/>
              <w:bottom w:val="single" w:color="D8DDE5" w:sz="1"/>
              <w:right w:val="single" w:color="D8DDE5" w:sz="1"/>
            </w:tcBorders>
            <w:shd w:fill="F6F7F9"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You had to explain the problem to them.</w:t>
            </w:r>
          </w:p>
        </w:tc>
      </w:tr>
      <w:tr>
        <w:tc>
          <w:tcPr>
            <w:tcW w:type="dxa" w:w="1411"/>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1 · Absent</w:t>
            </w:r>
          </w:p>
        </w:tc>
        <w:tc>
          <w:tcPr>
            <w:tcW w:type="dxa" w:w="3024"/>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Not a problem in their world.</w:t>
            </w:r>
          </w:p>
        </w:tc>
        <w:tc>
          <w:tcPr>
            <w:tcW w:type="dxa" w:w="5645"/>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i w:val="false"/>
                <w:iCs w:val="false"/>
                <w:color w:val="14181F"/>
                <w:sz w:val="18"/>
                <w:szCs w:val="18"/>
              </w:rPr>
              <w:t xml:space="preserve">Polite interest, no follow-up question.</w:t>
            </w:r>
          </w:p>
        </w:tc>
      </w:tr>
    </w:tbl>
    <w:p>
      <w:pPr>
        <w:spacing w:after="160" w:before="0" w:line="280"/>
      </w:pPr>
      <w:r>
        <w:rPr>
          <w:rFonts w:ascii="Arial" w:cs="Arial" w:eastAsia="Arial" w:hAnsi="Arial"/>
          <w:i/>
          <w:iCs/>
          <w:color w:val="6B7688"/>
          <w:sz w:val="17"/>
          <w:szCs w:val="17"/>
        </w:rPr>
        <w:t xml:space="preserve">A theme scoring 5 in three conversations is worth more than a theme scoring 2 in fifteen. High frequency and low severity is the signature of a product nobody will pay for.</w:t>
      </w:r>
    </w:p>
    <w:p>
      <w:pPr>
        <w:pStyle w:val="Heading2"/>
        <w:spacing w:after="120" w:before="300"/>
      </w:pPr>
      <w:r>
        <w:rPr>
          <w:rFonts w:ascii="Arial" w:cs="Arial" w:eastAsia="Arial" w:hAnsi="Arial"/>
          <w:b/>
          <w:bCs/>
          <w:caps/>
          <w:color w:val="A83E12"/>
          <w:spacing w:val="24"/>
          <w:sz w:val="17"/>
          <w:szCs w:val="17"/>
        </w:rPr>
        <w:t xml:space="preserve">Disconfirming evidence</w:t>
      </w:r>
    </w:p>
    <w:p>
      <w:pPr>
        <w:spacing w:after="160" w:before="0" w:line="280"/>
      </w:pPr>
      <w:r>
        <w:rPr>
          <w:rFonts w:ascii="Arial" w:cs="Arial" w:eastAsia="Arial" w:hAnsi="Arial"/>
          <w:i/>
          <w:iCs/>
          <w:color w:val="6B7688"/>
          <w:sz w:val="17"/>
          <w:szCs w:val="17"/>
        </w:rPr>
        <w:t xml:space="preserve">What the conversations said against the hypothesis. If this section is empty, the discovery was not adversarial and the synthesis should say so in section 6.</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29"/>
        <w:gridCol w:w="1210"/>
        <w:gridCol w:w="5242"/>
      </w:tblGrid>
      <w:tr>
        <w:trPr>
          <w:tblHeader/>
        </w:trPr>
        <w:tc>
          <w:tcPr>
            <w:tcW w:type="dxa" w:w="362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Finding</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Freq.</w:t>
            </w:r>
          </w:p>
        </w:tc>
        <w:tc>
          <w:tcPr>
            <w:tcW w:type="dxa" w:w="5242"/>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What it implies if it is true</w:t>
            </w:r>
          </w:p>
        </w:tc>
      </w:tr>
      <w:tr>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n of N</w:t>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5242"/>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04 · Buyer, workflow, and money</w:t>
      </w:r>
    </w:p>
    <w:p>
      <w:pPr>
        <w:spacing w:after="140"/>
      </w:pPr>
    </w:p>
    <w:p>
      <w:pPr>
        <w:pStyle w:val="Heading2"/>
        <w:spacing w:after="120" w:before="300"/>
      </w:pPr>
      <w:r>
        <w:rPr>
          <w:rFonts w:ascii="Arial" w:cs="Arial" w:eastAsia="Arial" w:hAnsi="Arial"/>
          <w:b/>
          <w:bCs/>
          <w:caps/>
          <w:color w:val="A83E12"/>
          <w:spacing w:val="24"/>
          <w:sz w:val="17"/>
          <w:szCs w:val="17"/>
        </w:rPr>
        <w:t xml:space="preserve">Who actually buys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218"/>
        <w:gridCol w:w="2218"/>
        <w:gridCol w:w="3629"/>
      </w:tblGrid>
      <w:tr>
        <w:trPr>
          <w:tblHeader/>
        </w:trPr>
        <w:tc>
          <w:tcPr>
            <w:tcW w:type="dxa" w:w="2016"/>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Role</w:t>
            </w:r>
          </w:p>
        </w:tc>
        <w:tc>
          <w:tcPr>
            <w:tcW w:type="dxa" w:w="221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Title observed</w:t>
            </w:r>
          </w:p>
        </w:tc>
        <w:tc>
          <w:tcPr>
            <w:tcW w:type="dxa" w:w="2218"/>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Function in the decision</w:t>
            </w:r>
          </w:p>
        </w:tc>
        <w:tc>
          <w:tcPr>
            <w:tcW w:type="dxa" w:w="362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What convinces them · what they fear</w:t>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Economic buyer</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Signs, holds the budget</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Champion</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Wants it, cannot sign</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User</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Lives with it daily</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r>
        <w:tc>
          <w:tcPr>
            <w:tcW w:type="dxa" w:w="2016"/>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Blocker</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Security, legal, procurement, clinical</w:t>
            </w:r>
          </w:p>
        </w:tc>
        <w:tc>
          <w:tcPr>
            <w:tcW w:type="dxa" w:w="2218"/>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 most commonly under-mapped role. Name them.</w:t>
            </w:r>
          </w:p>
        </w:tc>
      </w:tr>
    </w:tbl>
    <w:p>
      <w:pPr>
        <w:pStyle w:val="Heading2"/>
        <w:spacing w:after="120" w:before="300"/>
      </w:pPr>
      <w:r>
        <w:rPr>
          <w:rFonts w:ascii="Arial" w:cs="Arial" w:eastAsia="Arial" w:hAnsi="Arial"/>
          <w:b/>
          <w:bCs/>
          <w:caps/>
          <w:color w:val="A83E12"/>
          <w:spacing w:val="24"/>
          <w:sz w:val="17"/>
          <w:szCs w:val="17"/>
        </w:rPr>
        <w:t xml:space="preserve">The current workflow</w:t>
      </w:r>
    </w:p>
    <w:p>
      <w:pPr>
        <w:spacing w:after="160" w:before="0" w:line="280"/>
      </w:pPr>
      <w:r>
        <w:rPr>
          <w:rFonts w:ascii="Arial" w:cs="Arial" w:eastAsia="Arial" w:hAnsi="Arial"/>
          <w:i/>
          <w:iCs/>
          <w:color w:val="6B7688"/>
          <w:sz w:val="17"/>
          <w:szCs w:val="17"/>
        </w:rPr>
        <w:t xml:space="preserve">What they do today, step by step, including the workarounds. The workaround is the product's real competitor.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2"/>
        <w:spacing w:after="120" w:before="300"/>
      </w:pPr>
      <w:r>
        <w:rPr>
          <w:rFonts w:ascii="Arial" w:cs="Arial" w:eastAsia="Arial" w:hAnsi="Arial"/>
          <w:b/>
          <w:bCs/>
          <w:caps/>
          <w:color w:val="A83E12"/>
          <w:spacing w:val="24"/>
          <w:sz w:val="17"/>
          <w:szCs w:val="17"/>
        </w:rPr>
        <w:t xml:space="preserve">Cost of the status quo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7661"/>
      </w:tblGrid>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Quantified cost</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Hours, headcount, error rate, revenue lost — in their units, with the arithmetic they used.</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Who bears it</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If the person who bears the cost is not the person who holds the budget, the sale is structurally harder. Note it here.</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Why it persists</w:t>
            </w:r>
          </w:p>
        </w:tc>
        <w:tc>
          <w:tcPr>
            <w:tcW w:type="dxa" w:w="766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Something is holding the status quo in place. Naming it is more useful than naming the pain.</w:t>
            </w:r>
          </w:p>
        </w:tc>
      </w:tr>
    </w:tbl>
    <w:p>
      <w:pPr>
        <w:pStyle w:val="Heading2"/>
        <w:spacing w:after="120" w:before="300"/>
      </w:pPr>
      <w:r>
        <w:rPr>
          <w:rFonts w:ascii="Arial" w:cs="Arial" w:eastAsia="Arial" w:hAnsi="Arial"/>
          <w:b/>
          <w:bCs/>
          <w:caps/>
          <w:color w:val="A83E12"/>
          <w:spacing w:val="24"/>
          <w:sz w:val="17"/>
          <w:szCs w:val="17"/>
        </w:rPr>
        <w:t xml:space="preserve">Pricing signal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210"/>
        <w:gridCol w:w="6451"/>
      </w:tblGrid>
      <w:tr>
        <w:trPr>
          <w:tblHeader/>
        </w:trPr>
        <w:tc>
          <w:tcPr>
            <w:tcW w:type="dxa" w:w="241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Signal type</w:t>
            </w:r>
          </w:p>
        </w:tc>
        <w:tc>
          <w:tcPr>
            <w:tcW w:type="dxa" w:w="1210"/>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Count</w:t>
            </w:r>
          </w:p>
        </w:tc>
        <w:tc>
          <w:tcPr>
            <w:tcW w:type="dxa" w:w="6451"/>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Detail</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Paid</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45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Money changed hands. Amount, terms, what was delivered. The only pricing evidence that is not a hypothesis.</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Budget named</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45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They stated a line item and a figure, unprompted</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Comparable disclosed</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45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What they pay today for the nearest thing</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Reaction to a number</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45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A price was put to them and the response recorded. Weak, but not nothing.</w:t>
            </w:r>
          </w:p>
        </w:tc>
      </w:tr>
      <w:tr>
        <w:tc>
          <w:tcPr>
            <w:tcW w:type="dxa" w:w="2419"/>
            <w:tcBorders>
              <w:top w:val="single" w:color="D8DDE5" w:sz="1"/>
              <w:left w:val="single" w:color="D8DDE5" w:sz="1"/>
              <w:bottom w:val="single" w:color="D8DDE5" w:sz="1"/>
              <w:right w:val="single" w:color="D8DDE5" w:sz="1"/>
            </w:tcBorders>
            <w:shd w:fill="FFFFFF" w:val="clear"/>
            <w:tcMar>
              <w:top w:type="dxa" w:w="90"/>
              <w:left w:type="dxa" w:w="130"/>
              <w:bottom w:type="dxa" w:w="90"/>
              <w:right w:type="dxa" w:w="130"/>
            </w:tcMar>
          </w:tcPr>
          <w:p>
            <w:pPr>
              <w:spacing w:after="0" w:before="0" w:line="280"/>
            </w:pPr>
            <w:r>
              <w:rPr>
                <w:rFonts w:ascii="Arial" w:cs="Arial" w:eastAsia="Arial" w:hAnsi="Arial"/>
                <w:b/>
                <w:bCs/>
                <w:i w:val="false"/>
                <w:iCs w:val="false"/>
                <w:color w:val="14181F"/>
                <w:sz w:val="17"/>
                <w:szCs w:val="17"/>
              </w:rPr>
              <w:t xml:space="preserve">Pricing metric</w:t>
            </w:r>
          </w:p>
        </w:tc>
        <w:tc>
          <w:tcPr>
            <w:tcW w:type="dxa" w:w="1210"/>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w:t>
            </w:r>
          </w:p>
        </w:tc>
        <w:tc>
          <w:tcPr>
            <w:tcW w:type="dxa" w:w="6451"/>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Per seat, per site, per transaction, per outcome — what the buyer expects to be charged on, which is often not what the company expects to charge on</w:t>
            </w:r>
          </w:p>
        </w:tc>
      </w:tr>
    </w:tbl>
    <w:p>
      <w:pPr>
        <w:pStyle w:val="Heading1"/>
        <w:pageBreakBefore/>
        <w:pBdr>
          <w:bottom w:val="single" w:color="D4521A" w:sz="8" w:space="6"/>
        </w:pBdr>
        <w:spacing w:after="60" w:before="0"/>
      </w:pPr>
      <w:r>
        <w:rPr>
          <w:rFonts w:ascii="Arial" w:cs="Arial" w:eastAsia="Arial" w:hAnsi="Arial"/>
          <w:b/>
          <w:bCs/>
          <w:color w:val="14181F"/>
          <w:sz w:val="30"/>
          <w:szCs w:val="30"/>
        </w:rPr>
        <w:t xml:space="preserve">Section 05 · The call</w:t>
      </w:r>
    </w:p>
    <w:p>
      <w:pPr>
        <w:spacing w:after="140"/>
      </w:pPr>
    </w:p>
    <w:p>
      <w:pPr>
        <w:spacing w:after="200" w:before="0" w:line="280"/>
      </w:pPr>
      <w:r>
        <w:rPr>
          <w:rFonts w:ascii="Arial" w:cs="Arial" w:eastAsia="Arial" w:hAnsi="Arial"/>
          <w:color w:val="3C4657"/>
          <w:sz w:val="22"/>
          <w:szCs w:val="22"/>
        </w:rPr>
        <w:t xml:space="preserve">One of four outcomes. Tick one. A synthesis that ends in “we learned a lot” has not been completed.</w:t>
      </w:r>
    </w:p>
    <w:p>
      <w:pPr>
        <w:spacing w:after="90" w:before="0" w:line="280"/>
      </w:pPr>
      <w:r>
        <w:rPr>
          <w:rFonts w:ascii="Arial" w:cs="Arial" w:eastAsia="Arial" w:hAnsi="Arial"/>
          <w:color w:val="6B7688"/>
          <w:sz w:val="22"/>
          <w:szCs w:val="22"/>
        </w:rPr>
        <w:t xml:space="preserve">☐   </w:t>
      </w:r>
      <w:r>
        <w:rPr>
          <w:rFonts w:ascii="Arial" w:cs="Arial" w:eastAsia="Arial" w:hAnsi="Arial"/>
          <w:b/>
          <w:bCs/>
          <w:color w:val="14181F"/>
          <w:sz w:val="20"/>
          <w:szCs w:val="20"/>
        </w:rPr>
        <w:t xml:space="preserve">Wedge confirmed. </w:t>
      </w:r>
      <w:r>
        <w:rPr>
          <w:rFonts w:ascii="Arial" w:cs="Arial" w:eastAsia="Arial" w:hAnsi="Arial"/>
          <w:color w:val="14181F"/>
          <w:sz w:val="20"/>
          <w:szCs w:val="20"/>
        </w:rPr>
        <w:t xml:space="preserve">The severity is high, the buyer is identified and reachable, and there is behavioral evidence of willingness to pay. Proceed to the Validation gate with this as the supporting evidence.</w:t>
      </w:r>
    </w:p>
    <w:p>
      <w:pPr>
        <w:spacing w:after="90" w:before="0" w:line="280"/>
      </w:pPr>
      <w:r>
        <w:rPr>
          <w:rFonts w:ascii="Arial" w:cs="Arial" w:eastAsia="Arial" w:hAnsi="Arial"/>
          <w:color w:val="6B7688"/>
          <w:sz w:val="22"/>
          <w:szCs w:val="22"/>
        </w:rPr>
        <w:t xml:space="preserve">☐   </w:t>
      </w:r>
      <w:r>
        <w:rPr>
          <w:rFonts w:ascii="Arial" w:cs="Arial" w:eastAsia="Arial" w:hAnsi="Arial"/>
          <w:b/>
          <w:bCs/>
          <w:color w:val="14181F"/>
          <w:sz w:val="20"/>
          <w:szCs w:val="20"/>
        </w:rPr>
        <w:t xml:space="preserve">Wedge needs re-cutting. </w:t>
      </w:r>
      <w:r>
        <w:rPr>
          <w:rFonts w:ascii="Arial" w:cs="Arial" w:eastAsia="Arial" w:hAnsi="Arial"/>
          <w:color w:val="14181F"/>
          <w:sz w:val="20"/>
          <w:szCs w:val="20"/>
        </w:rPr>
        <w:t xml:space="preserve">The problem is real but the framing, the buyer, or the pricing metric is wrong. State the specific re-cut, and run a further round of discovery against it. Do not carry the old synthesis forward.</w:t>
      </w:r>
    </w:p>
    <w:p>
      <w:pPr>
        <w:spacing w:after="90" w:before="0" w:line="280"/>
      </w:pPr>
      <w:r>
        <w:rPr>
          <w:rFonts w:ascii="Arial" w:cs="Arial" w:eastAsia="Arial" w:hAnsi="Arial"/>
          <w:color w:val="6B7688"/>
          <w:sz w:val="22"/>
          <w:szCs w:val="22"/>
        </w:rPr>
        <w:t xml:space="preserve">☐   </w:t>
      </w:r>
      <w:r>
        <w:rPr>
          <w:rFonts w:ascii="Arial" w:cs="Arial" w:eastAsia="Arial" w:hAnsi="Arial"/>
          <w:b/>
          <w:bCs/>
          <w:color w:val="14181F"/>
          <w:sz w:val="20"/>
          <w:szCs w:val="20"/>
        </w:rPr>
        <w:t xml:space="preserve">Segment is wrong. </w:t>
      </w:r>
      <w:r>
        <w:rPr>
          <w:rFonts w:ascii="Arial" w:cs="Arial" w:eastAsia="Arial" w:hAnsi="Arial"/>
          <w:color w:val="14181F"/>
          <w:sz w:val="20"/>
          <w:szCs w:val="20"/>
        </w:rPr>
        <w:t xml:space="preserve">The problem does not have sufficient severity in this segment. Name the segment worth testing next and the reason to believe it is different.</w:t>
      </w:r>
    </w:p>
    <w:p>
      <w:pPr>
        <w:spacing w:after="90" w:before="0" w:line="280"/>
      </w:pPr>
      <w:r>
        <w:rPr>
          <w:rFonts w:ascii="Arial" w:cs="Arial" w:eastAsia="Arial" w:hAnsi="Arial"/>
          <w:color w:val="6B7688"/>
          <w:sz w:val="22"/>
          <w:szCs w:val="22"/>
        </w:rPr>
        <w:t xml:space="preserve">☐   </w:t>
      </w:r>
      <w:r>
        <w:rPr>
          <w:rFonts w:ascii="Arial" w:cs="Arial" w:eastAsia="Arial" w:hAnsi="Arial"/>
          <w:b/>
          <w:bCs/>
          <w:color w:val="14181F"/>
          <w:sz w:val="20"/>
          <w:szCs w:val="20"/>
        </w:rPr>
        <w:t xml:space="preserve">Insufficient evidence. </w:t>
      </w:r>
      <w:r>
        <w:rPr>
          <w:rFonts w:ascii="Arial" w:cs="Arial" w:eastAsia="Arial" w:hAnsi="Arial"/>
          <w:color w:val="14181F"/>
          <w:sz w:val="20"/>
          <w:szCs w:val="20"/>
        </w:rPr>
        <w:t xml:space="preserve">Sample too small, too biased, or too concentrated in non-buyers to support any of the above. State what would need to be added, and how many more conversations.</w:t>
      </w:r>
    </w:p>
    <w:p>
      <w:pPr>
        <w:pStyle w:val="Heading2"/>
        <w:spacing w:after="120" w:before="300"/>
      </w:pPr>
      <w:r>
        <w:rPr>
          <w:rFonts w:ascii="Arial" w:cs="Arial" w:eastAsia="Arial" w:hAnsi="Arial"/>
          <w:b/>
          <w:bCs/>
          <w:caps/>
          <w:color w:val="A83E12"/>
          <w:spacing w:val="24"/>
          <w:sz w:val="17"/>
          <w:szCs w:val="17"/>
        </w:rPr>
        <w:t xml:space="preserve">Basis for the call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spacing w:after="110" w:before="0" w:line="280"/>
            </w:pPr>
            <w:r>
              <w:rPr>
                <w:rFonts w:ascii="Arial" w:cs="Arial" w:eastAsia="Arial" w:hAnsi="Arial"/>
                <w:i/>
                <w:iCs/>
                <w:color w:val="6B7688"/>
                <w:sz w:val="17"/>
                <w:szCs w:val="17"/>
              </w:rPr>
              <w:t xml:space="preserve">Three sentences maximum, each pointing at a numbered theme or a ledger ID. If the call cannot be justified by reference to the evidence above, it is not coming from the evidence above.</w:t>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2"/>
        <w:spacing w:after="120" w:before="300"/>
      </w:pPr>
      <w:r>
        <w:rPr>
          <w:rFonts w:ascii="Arial" w:cs="Arial" w:eastAsia="Arial" w:hAnsi="Arial"/>
          <w:b/>
          <w:bCs/>
          <w:caps/>
          <w:color w:val="A83E12"/>
          <w:spacing w:val="24"/>
          <w:sz w:val="17"/>
          <w:szCs w:val="17"/>
        </w:rPr>
        <w:t xml:space="preserve">What would change this call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DDE5" w:sz="1"/>
              <w:left w:val="single" w:color="D4521A" w:sz="14"/>
              <w:bottom w:val="single" w:color="D8DDE5" w:sz="1"/>
              <w:right w:val="single" w:color="D8DDE5" w:sz="1"/>
            </w:tcBorders>
            <w:shd w:fill="F6F7F9" w:val="clear"/>
            <w:tcMar>
              <w:top w:type="dxa" w:w="150"/>
              <w:left w:type="dxa" w:w="180"/>
              <w:bottom w:type="dxa" w:w="120"/>
              <w:right w:type="dxa" w:w="180"/>
            </w:tcMar>
          </w:tcPr>
          <w:p>
            <w:pPr>
              <w:spacing w:after="70" w:before="0" w:line="280"/>
            </w:pPr>
            <w:r>
              <w:rPr>
                <w:rFonts w:ascii="Arial" w:cs="Arial" w:eastAsia="Arial" w:hAnsi="Arial"/>
                <w:b/>
                <w:bCs/>
                <w:caps/>
                <w:color w:val="A83E12"/>
                <w:spacing w:val="22"/>
                <w:sz w:val="15"/>
                <w:szCs w:val="15"/>
              </w:rPr>
              <w:t xml:space="preserve"/>
            </w:r>
          </w:p>
          <w:p>
            <w:pPr>
              <w:spacing w:after="110" w:before="0" w:line="280"/>
            </w:pPr>
            <w:r>
              <w:rPr>
                <w:rFonts w:ascii="Arial" w:cs="Arial" w:eastAsia="Arial" w:hAnsi="Arial"/>
                <w:i/>
                <w:iCs/>
                <w:color w:val="6B7688"/>
                <w:sz w:val="17"/>
                <w:szCs w:val="17"/>
              </w:rPr>
              <w:t xml:space="preserve">The specific finding, in the next round, that would flip it. Written now, so that the next round can be designed to look for it.</w:t>
            </w:r>
          </w:p>
          <w:p>
            <w:pPr>
              <w:pBdr>
                <w:bottom w:val="dotted" w:color="9AA3B2" w:sz="4" w:space="2"/>
              </w:pBdr>
              <w:spacing w:after="110"/>
            </w:pPr>
            <w:r>
              <w:rPr>
                <w:rFonts w:ascii="Arial" w:cs="Arial" w:eastAsia="Arial" w:hAnsi="Arial"/>
                <w:color w:val="14181F"/>
                <w:sz w:val="20"/>
                <w:szCs w:val="20"/>
              </w:rPr>
              <w:t xml:space="preserve"/>
            </w:r>
          </w:p>
          <w:p>
            <w:pPr>
              <w:pBdr>
                <w:bottom w:val="dotted" w:color="9AA3B2" w:sz="4" w:space="2"/>
              </w:pBdr>
              <w:spacing w:after="110"/>
            </w:pPr>
            <w:r>
              <w:rPr>
                <w:rFonts w:ascii="Arial" w:cs="Arial" w:eastAsia="Arial" w:hAnsi="Arial"/>
                <w:color w:val="14181F"/>
                <w:sz w:val="20"/>
                <w:szCs w:val="20"/>
              </w:rPr>
              <w:t xml:space="preserve"/>
            </w:r>
          </w:p>
        </w:tc>
      </w:tr>
    </w:tbl>
    <w:p>
      <w:pPr>
        <w:pStyle w:val="Heading1"/>
        <w:pBdr>
          <w:bottom w:val="single" w:color="D4521A" w:sz="8" w:space="6"/>
        </w:pBdr>
        <w:spacing w:after="60" w:before="400"/>
      </w:pPr>
      <w:r>
        <w:rPr>
          <w:rFonts w:ascii="Arial" w:cs="Arial" w:eastAsia="Arial" w:hAnsi="Arial"/>
          <w:b/>
          <w:bCs/>
          <w:color w:val="14181F"/>
          <w:sz w:val="30"/>
          <w:szCs w:val="30"/>
        </w:rPr>
        <w:t xml:space="preserve">Section 06 · Limitations and next round</w:t>
      </w:r>
    </w:p>
    <w:p>
      <w:pPr>
        <w:spacing w:after="140"/>
      </w:pPr>
    </w:p>
    <w:p>
      <w:pPr>
        <w:pStyle w:val="ListParagraph"/>
        <w:numPr>
          <w:ilvl w:val="0"/>
          <w:numId w:val="3"/>
        </w:numPr>
        <w:spacing w:after="80" w:line="280"/>
      </w:pPr>
      <w:r>
        <w:rPr>
          <w:rFonts w:ascii="Arial" w:cs="Arial" w:eastAsia="Arial" w:hAnsi="Arial"/>
          <w:b/>
          <w:bCs/>
          <w:color w:val="14181F"/>
          <w:sz w:val="20"/>
          <w:szCs w:val="20"/>
        </w:rPr>
        <w:t xml:space="preserve">What this synthesis cannot support. </w:t>
      </w:r>
      <w:r>
        <w:rPr>
          <w:rFonts w:ascii="Arial" w:cs="Arial" w:eastAsia="Arial" w:hAnsi="Arial"/>
          <w:color w:val="14181F"/>
          <w:sz w:val="20"/>
          <w:szCs w:val="20"/>
        </w:rPr>
        <w:t xml:space="preserve">Name the conclusions people will try to draw from it that the evidence does not carry — pricing, market size, and competitive positioning are the usual three.</w:t>
      </w:r>
    </w:p>
    <w:p>
      <w:pPr>
        <w:pStyle w:val="ListParagraph"/>
        <w:numPr>
          <w:ilvl w:val="0"/>
          <w:numId w:val="3"/>
        </w:numPr>
        <w:spacing w:after="80" w:line="280"/>
      </w:pPr>
      <w:r>
        <w:rPr>
          <w:rFonts w:ascii="Arial" w:cs="Arial" w:eastAsia="Arial" w:hAnsi="Arial"/>
          <w:b/>
          <w:bCs/>
          <w:color w:val="14181F"/>
          <w:sz w:val="20"/>
          <w:szCs w:val="20"/>
        </w:rPr>
        <w:t xml:space="preserve">Gaps in the sample. </w:t>
      </w:r>
      <w:r>
        <w:rPr>
          <w:rFonts w:ascii="Arial" w:cs="Arial" w:eastAsia="Arial" w:hAnsi="Arial"/>
          <w:color w:val="14181F"/>
          <w:sz w:val="20"/>
          <w:szCs w:val="20"/>
        </w:rPr>
        <w:t xml:space="preserve">The roles, segments, or geographies not represented, and whether that matters.</w:t>
      </w:r>
    </w:p>
    <w:p>
      <w:pPr>
        <w:pStyle w:val="ListParagraph"/>
        <w:numPr>
          <w:ilvl w:val="0"/>
          <w:numId w:val="3"/>
        </w:numPr>
        <w:spacing w:after="80" w:line="280"/>
      </w:pPr>
      <w:r>
        <w:rPr>
          <w:rFonts w:ascii="Arial" w:cs="Arial" w:eastAsia="Arial" w:hAnsi="Arial"/>
          <w:b/>
          <w:bCs/>
          <w:color w:val="14181F"/>
          <w:sz w:val="20"/>
          <w:szCs w:val="20"/>
        </w:rPr>
        <w:t xml:space="preserve">Next round design. </w:t>
      </w:r>
      <w:r>
        <w:rPr>
          <w:rFonts w:ascii="Arial" w:cs="Arial" w:eastAsia="Arial" w:hAnsi="Arial"/>
          <w:color w:val="14181F"/>
          <w:sz w:val="20"/>
          <w:szCs w:val="20"/>
        </w:rPr>
        <w:t xml:space="preserve">How many conversations, with whom, testing what, and the question that will be asked differently this time.</w:t>
      </w:r>
    </w:p>
    <w:p>
      <w:pPr>
        <w:spacing w:after="1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29"/>
        <w:gridCol w:w="1814"/>
        <w:gridCol w:w="1613"/>
        <w:gridCol w:w="3024"/>
      </w:tblGrid>
      <w:tr>
        <w:trPr>
          <w:tblHeader/>
        </w:trPr>
        <w:tc>
          <w:tcPr>
            <w:tcW w:type="dxa" w:w="3629"/>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Action</w:t>
            </w:r>
          </w:p>
        </w:tc>
        <w:tc>
          <w:tcPr>
            <w:tcW w:type="dxa" w:w="181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Owner</w:t>
            </w:r>
          </w:p>
        </w:tc>
        <w:tc>
          <w:tcPr>
            <w:tcW w:type="dxa" w:w="1613"/>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By</w:t>
            </w:r>
          </w:p>
        </w:tc>
        <w:tc>
          <w:tcPr>
            <w:tcW w:type="dxa" w:w="3024"/>
            <w:tcBorders>
              <w:top w:val="single" w:color="D8DDE5" w:sz="1"/>
              <w:left w:val="single" w:color="D8DDE5" w:sz="1"/>
              <w:bottom w:val="single" w:color="D8DDE5" w:sz="1"/>
              <w:right w:val="single" w:color="D8DDE5" w:sz="1"/>
            </w:tcBorders>
            <w:shd w:fill="0C1220" w:val="clear"/>
            <w:tcMar>
              <w:top w:type="dxa" w:w="90"/>
              <w:left w:type="dxa" w:w="130"/>
              <w:bottom w:type="dxa" w:w="90"/>
              <w:right w:type="dxa" w:w="130"/>
            </w:tcMar>
          </w:tcPr>
          <w:p>
            <w:pPr>
              <w:spacing w:after="0" w:before="0" w:line="280"/>
            </w:pPr>
            <w:r>
              <w:rPr>
                <w:rFonts w:ascii="Arial" w:cs="Arial" w:eastAsia="Arial" w:hAnsi="Arial"/>
                <w:b/>
                <w:bCs/>
                <w:caps/>
                <w:color w:val="FFFFFF"/>
                <w:spacing w:val="20"/>
                <w:sz w:val="15"/>
                <w:szCs w:val="15"/>
              </w:rPr>
              <w:t xml:space="preserve">Feeds which gate</w:t>
            </w:r>
          </w:p>
        </w:tc>
      </w:tr>
      <w:tr>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Validation</w:t>
            </w:r>
          </w:p>
        </w:tc>
      </w:tr>
      <w:tr>
        <w:tc>
          <w:tcPr>
            <w:tcW w:type="dxa" w:w="3629"/>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81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1613"/>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c>
          <w:tcPr>
            <w:tcW w:type="dxa" w:w="3024"/>
            <w:tcBorders>
              <w:top w:val="single" w:color="D8DDE5" w:sz="1"/>
              <w:left w:val="single" w:color="D8DDE5" w:sz="1"/>
              <w:bottom w:val="single" w:color="D8DDE5" w:sz="1"/>
              <w:right w:val="single" w:color="D8DDE5" w:sz="1"/>
            </w:tcBorders>
            <w:shd w:fill="FDF7F2" w:val="clear"/>
            <w:tcMar>
              <w:top w:type="dxa" w:w="90"/>
              <w:left w:type="dxa" w:w="130"/>
              <w:bottom w:type="dxa" w:w="90"/>
              <w:right w:type="dxa" w:w="130"/>
            </w:tcMar>
          </w:tcPr>
          <w:p>
            <w:pPr>
              <w:spacing w:after="0" w:before="0" w:line="280"/>
            </w:pPr>
            <w:r>
              <w:rPr>
                <w:rFonts w:ascii="Arial" w:cs="Arial" w:eastAsia="Arial" w:hAnsi="Arial"/>
                <w:i/>
                <w:iCs/>
                <w:color w:val="9AA3B2"/>
                <w:sz w:val="18"/>
                <w:szCs w:val="18"/>
              </w:rPr>
              <w:t xml:space="preserve"/>
            </w:r>
          </w:p>
        </w:tc>
      </w:tr>
    </w:tbl>
    <w:p>
      <w:pPr>
        <w:spacing w:after="300"/>
      </w:pPr>
    </w:p>
    <w:p>
      <w:pPr>
        <w:pBdr>
          <w:top w:val="single" w:color="D8DDE5" w:sz="1" w:space="8"/>
        </w:pBdr>
        <w:spacing w:after="120"/>
      </w:pPr>
    </w:p>
    <w:p>
      <w:pPr>
        <w:spacing w:after="0" w:before="0" w:line="260"/>
      </w:pPr>
      <w:r>
        <w:rPr>
          <w:rFonts w:ascii="Arial" w:cs="Arial" w:eastAsia="Arial" w:hAnsi="Arial"/>
          <w:b/>
          <w:bCs/>
          <w:color w:val="6B7688"/>
          <w:sz w:val="15"/>
          <w:szCs w:val="15"/>
        </w:rPr>
        <w:t xml:space="preserve">Crucible, by Infinity Forge · Customer Discovery Synthesis Template · v1.0 · August 2026. </w:t>
      </w:r>
      <w:r>
        <w:rPr>
          <w:rFonts w:ascii="Arial" w:cs="Arial" w:eastAsia="Arial" w:hAnsi="Arial"/>
          <w:color w:val="9AA3B2"/>
          <w:sz w:val="15"/>
          <w:szCs w:val="15"/>
        </w:rPr>
        <w:t xml:space="preserve">Redacted sample from the Crucible artifact library. Structure is complete and usable; all illustrative content is a composite and does not describe any actual engagement, company, or transaction.  © 2026 Infinity Forge, LLC. infinityforge.ai</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5" w:sz="1" w:space="4"/>
      </w:pBdr>
    </w:pPr>
    <w:r>
      <w:rPr>
        <w:rFonts w:ascii="Arial" w:cs="Arial" w:eastAsia="Arial" w:hAnsi="Arial"/>
        <w:color w:val="9AA3B2"/>
        <w:spacing w:val="24"/>
        <w:sz w:val="13"/>
        <w:szCs w:val="13"/>
      </w:rPr>
      <w:t xml:space="preserve">INFINITY FORGE  ·  CRUCIBLE  ·  V1.0  ·  AUGUST 2026</w:t>
    </w:r>
    <w:r>
      <w:rPr>
        <w:rFonts w:ascii="Arial" w:cs="Arial" w:eastAsia="Arial" w:hAnsi="Arial"/>
        <w:color w:val="9AA3B2"/>
        <w:sz w:val="13"/>
        <w:szCs w:val="13"/>
      </w:rPr>
      <w:ptab w:alignment="right" w:relativeTo="margin" w:leader="none"/>
      <w:t xml:space="preserve">INFINITYFORGE.AI  ·  </w:t>
    </w:r>
    <w:r>
      <w:rPr>
        <w:rFonts w:ascii="Arial" w:cs="Arial" w:eastAsia="Arial" w:hAnsi="Arial"/>
        <w:color w:val="9AA3B2"/>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DE5" w:sz="1" w:space="4"/>
      </w:pBdr>
      <w:jc w:val="right"/>
    </w:pPr>
    <w:r>
      <w:rPr>
        <w:rFonts w:ascii="Arial" w:cs="Arial" w:eastAsia="Arial" w:hAnsi="Arial"/>
        <w:color w:val="9AA3B2"/>
        <w:spacing w:val="26"/>
        <w:sz w:val="13"/>
        <w:szCs w:val="13"/>
      </w:rPr>
      <w:t xml:space="preserve">CRUCIBLE  ·  CUSTOMER DISCOVERY SYNTHESIS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81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4181F"/>
      <w:sz w:val="30"/>
      <w:szCs w:val="30"/>
    </w:rPr>
  </w:style>
  <w:style w:type="paragraph" w:styleId="Heading2">
    <w:name w:val="Heading 2"/>
    <w:basedOn w:val="Normal"/>
    <w:next w:val="Normal"/>
    <w:qFormat/>
    <w:pPr>
      <w:spacing w:after="120" w:before="300"/>
      <w:outlineLvl w:val="1"/>
    </w:pPr>
    <w:rPr>
      <w:rFonts w:ascii="Arial" w:cs="Arial" w:eastAsia="Arial" w:hAnsi="Arial"/>
      <w:b/>
      <w:bCs/>
      <w:color w:val="A83E12"/>
      <w:sz w:val="17"/>
      <w:szCs w:val="17"/>
    </w:rPr>
  </w:style>
  <w:style w:type="paragraph" w:styleId="Heading3">
    <w:name w:val="Heading 3"/>
    <w:basedOn w:val="Normal"/>
    <w:next w:val="Normal"/>
    <w:qFormat/>
    <w:pPr>
      <w:spacing w:after="90" w:before="200"/>
      <w:outlineLvl w:val="2"/>
    </w:pPr>
    <w:rPr>
      <w:rFonts w:ascii="Arial" w:cs="Arial" w:eastAsia="Arial" w:hAnsi="Arial"/>
      <w:b/>
      <w:bCs/>
      <w:color w:val="14181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Discovery Synthesis Template — Crucible, by Infinity Forge</dc:title>
  <dc:creator>Infinity Forge, LLC</dc:creator>
  <dc:description>Crucible artifact library — redacted sample, editable working copy.</dc:description>
  <cp:lastModifiedBy>Un-named</cp:lastModifiedBy>
  <cp:revision>1</cp:revision>
  <dcterms:created xsi:type="dcterms:W3CDTF">2026-08-12T17:03:25.362Z</dcterms:created>
  <dcterms:modified xsi:type="dcterms:W3CDTF">2026-08-12T17:03:25.362Z</dcterms:modified>
</cp:coreProperties>
</file>

<file path=docProps/custom.xml><?xml version="1.0" encoding="utf-8"?>
<Properties xmlns="http://schemas.openxmlformats.org/officeDocument/2006/custom-properties" xmlns:vt="http://schemas.openxmlformats.org/officeDocument/2006/docPropsVTypes"/>
</file>