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Arial" w:cs="Arial" w:eastAsia="Arial" w:hAnsi="Arial"/>
          <w:color w:val="96702B"/>
          <w:spacing w:val="40"/>
          <w:sz w:val="14"/>
          <w:szCs w:val="14"/>
        </w:rPr>
        <w:t xml:space="preserve">INFINITY FORGE</w:t>
      </w:r>
      <w:r>
        <w:rPr>
          <w:rFonts w:ascii="Arial" w:cs="Arial" w:eastAsia="Arial" w:hAnsi="Arial"/>
          <w:color w:val="9AA3B2"/>
          <w:sz w:val="14"/>
          <w:szCs w:val="14"/>
        </w:rPr>
        <w:t xml:space="preserve">   →   </w:t>
      </w:r>
      <w:r>
        <w:rPr>
          <w:rFonts w:ascii="Arial" w:cs="Arial" w:eastAsia="Arial" w:hAnsi="Arial"/>
          <w:b/>
          <w:bCs/>
          <w:color w:val="D4521A"/>
          <w:spacing w:val="32"/>
          <w:sz w:val="16"/>
          <w:szCs w:val="16"/>
        </w:rPr>
        <w:t xml:space="preserve">CRUCIBLE</w:t>
      </w:r>
    </w:p>
    <w:p>
      <w:pPr>
        <w:pBdr>
          <w:bottom w:val="single" w:color="D4521A" w:sz="10" w:space="8"/>
        </w:pBdr>
        <w:spacing w:after="300"/>
      </w:pPr>
      <w:r>
        <w:rPr>
          <w:rFonts w:ascii="Arial" w:cs="Arial" w:eastAsia="Arial" w:hAnsi="Arial"/>
          <w:color w:val="9AA3B2"/>
          <w:spacing w:val="30"/>
          <w:sz w:val="13"/>
          <w:szCs w:val="13"/>
        </w:rPr>
        <w:t xml:space="preserve">ARTIFACT LIBRARY  ·  TEMPLATE  ·  STAGE: LAUNCH &amp; SCALE</w:t>
      </w:r>
    </w:p>
    <w:p>
      <w:pPr>
        <w:spacing w:after="120" w:before="0" w:line="480"/>
      </w:pPr>
      <w:r>
        <w:rPr>
          <w:rFonts w:ascii="Arial" w:cs="Arial" w:eastAsia="Arial" w:hAnsi="Arial"/>
          <w:b/>
          <w:bCs/>
          <w:color w:val="D4521A"/>
          <w:sz w:val="48"/>
          <w:szCs w:val="48"/>
        </w:rPr>
        <w:t xml:space="preserve">Investor Update Template</w:t>
      </w:r>
    </w:p>
    <w:p>
      <w:pPr>
        <w:spacing w:after="240" w:before="0" w:line="280"/>
      </w:pPr>
      <w:r>
        <w:rPr>
          <w:rFonts w:ascii="Arial" w:cs="Arial" w:eastAsia="Arial" w:hAnsi="Arial"/>
          <w:i/>
          <w:iCs/>
          <w:color w:val="6B7688"/>
          <w:sz w:val="24"/>
          <w:szCs w:val="24"/>
        </w:rPr>
        <w:t xml:space="preserve">The same numbers, the same order, every month — including the bad ones.</w:t>
      </w:r>
    </w:p>
    <w:p>
      <w:pPr>
        <w:spacing w:after="200" w:before="0" w:line="320"/>
      </w:pPr>
      <w:r>
        <w:rPr>
          <w:rFonts w:ascii="Arial" w:cs="Arial" w:eastAsia="Arial" w:hAnsi="Arial"/>
          <w:color w:val="3C4657"/>
          <w:sz w:val="19"/>
          <w:szCs w:val="19"/>
        </w:rPr>
        <w:t xml:space="preserve">A monthly update built so that the reader can compare this month to the last twelve without re-reading them. Fixed metric block, fixed section order, an explicit asks section, and a lowlights section that is not optional. The discipline the template enforces is consistency: an update that changes shape when the news is bad tells the reader more than the words in it do.</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96702B" w:sz="12"/>
              <w:left w:val="single" w:color="D8DDE5" w:sz="1"/>
              <w:bottom w:val="single" w:color="D8DDE5" w:sz="1"/>
              <w:right w:val="single" w:color="D8DDE5" w:sz="1"/>
            </w:tcBorders>
            <w:shd w:fill="F6F7F9" w:val="clear"/>
            <w:tcMar>
              <w:top w:type="dxa" w:w="160"/>
              <w:left w:type="dxa" w:w="180"/>
              <w:bottom w:type="dxa" w:w="160"/>
              <w:right w:type="dxa" w:w="180"/>
            </w:tcMar>
          </w:tcPr>
          <w:p>
            <w:pPr>
              <w:spacing w:after="90" w:before="0" w:line="280"/>
            </w:pPr>
            <w:r>
              <w:rPr>
                <w:rFonts w:ascii="Arial" w:cs="Arial" w:eastAsia="Arial" w:hAnsi="Arial"/>
                <w:b/>
                <w:bCs/>
                <w:caps/>
                <w:color w:val="96702B"/>
                <w:spacing w:val="24"/>
                <w:sz w:val="15"/>
                <w:szCs w:val="15"/>
              </w:rPr>
              <w:t xml:space="preserve">Editable working copy</w:t>
            </w:r>
          </w:p>
          <w:p>
            <w:pPr>
              <w:spacing w:after="60" w:before="0" w:line="280"/>
            </w:pPr>
            <w:r>
              <w:rPr>
                <w:rFonts w:ascii="Arial" w:cs="Arial" w:eastAsia="Arial" w:hAnsi="Arial"/>
                <w:color w:val="3C4657"/>
                <w:sz w:val="19"/>
                <w:szCs w:val="19"/>
              </w:rPr>
              <w:t xml:space="preserve">This is the fill-in version of a redacted sample from the Crucible artifact library. The structure is complete and usable. Every italic, shaded cell is a prompt to be replaced with your own content. All illustrative examples are composites and do not describe any actual engagement, company, or transaction.</w:t>
            </w:r>
          </w:p>
          <w:p>
            <w:pPr>
              <w:spacing w:after="60" w:before="0" w:line="280"/>
            </w:pPr>
            <w:r>
              <w:rPr>
                <w:rFonts w:ascii="Arial" w:cs="Arial" w:eastAsia="Arial" w:hAnsi="Arial"/>
                <w:color w:val="3C4657"/>
                <w:sz w:val="19"/>
                <w:szCs w:val="19"/>
              </w:rPr>
              <w:t xml:space="preserve">Companion PDF: the same artifact, typeset for reading and circulation. Both are available at infinityforge.ai/proof#artifacts.</w:t>
            </w:r>
          </w:p>
        </w:tc>
      </w:tr>
    </w:tbl>
    <w:p>
      <w:pPr>
        <w:spacing w:after="200"/>
      </w:pPr>
    </w:p>
    <w:p>
      <w:pPr>
        <w:pStyle w:val="Heading1"/>
        <w:pBdr>
          <w:bottom w:val="single" w:color="D4521A" w:sz="8" w:space="6"/>
        </w:pBdr>
        <w:spacing w:after="60" w:before="400"/>
      </w:pPr>
      <w:r>
        <w:rPr>
          <w:rFonts w:ascii="Arial" w:cs="Arial" w:eastAsia="Arial" w:hAnsi="Arial"/>
          <w:b/>
          <w:bCs/>
          <w:color w:val="14181F"/>
          <w:sz w:val="30"/>
          <w:szCs w:val="30"/>
        </w:rPr>
        <w:t xml:space="preserve">How to use this</w:t>
      </w:r>
    </w:p>
    <w:p>
      <w:pPr>
        <w:spacing w:after="140"/>
      </w:pPr>
    </w:p>
    <w:p>
      <w:pPr>
        <w:spacing w:after="200" w:before="0" w:line="280"/>
      </w:pPr>
      <w:r>
        <w:rPr>
          <w:rFonts w:ascii="Arial" w:cs="Arial" w:eastAsia="Arial" w:hAnsi="Arial"/>
          <w:color w:val="3C4657"/>
          <w:sz w:val="22"/>
          <w:szCs w:val="22"/>
        </w:rPr>
        <w:t xml:space="preserve">A monthly update exists so that a reader who has not thought about your company in thirty days can be current in four minutes, and so that a reader who has kept twelve of them can see a trend without re-reading any of them.</w:t>
      </w:r>
    </w:p>
    <w:p>
      <w:pPr>
        <w:spacing w:after="140" w:before="0" w:line="280"/>
      </w:pPr>
      <w:r>
        <w:rPr>
          <w:rFonts w:ascii="Arial" w:cs="Arial" w:eastAsia="Arial" w:hAnsi="Arial"/>
          <w:color w:val="14181F"/>
          <w:sz w:val="20"/>
          <w:szCs w:val="20"/>
        </w:rPr>
        <w:t xml:space="preserve">Both purposes require the same thing: the update does not change shape. Same metrics, same order, same sections, every month, including the months when the news is bad. An update that reorders itself when a number goes the wrong way communicates the bad news anyway — and adds the information that the founder tried to obscure it.</w:t>
      </w:r>
    </w:p>
    <w:p>
      <w:pPr>
        <w:spacing w:after="16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016"/>
        <w:gridCol w:w="8064"/>
      </w:tblGrid>
      <w:tr>
        <w:tc>
          <w:tcPr>
            <w:tcW w:type="dxa" w:w="2016"/>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Cadence</w:t>
            </w:r>
          </w:p>
        </w:tc>
        <w:tc>
          <w:tcPr>
            <w:tcW w:type="dxa" w:w="8064"/>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i w:val="false"/>
                <w:iCs w:val="false"/>
                <w:color w:val="14181F"/>
                <w:sz w:val="18"/>
                <w:szCs w:val="18"/>
              </w:rPr>
              <w:t xml:space="preserve">Monthly, by the fifth working day, without exception. A late update is read as a bad update before it is opened.</w:t>
            </w:r>
          </w:p>
        </w:tc>
      </w:tr>
      <w:tr>
        <w:tc>
          <w:tcPr>
            <w:tcW w:type="dxa" w:w="2016"/>
            <w:tcBorders>
              <w:top w:val="single" w:color="D8DDE5" w:sz="1"/>
              <w:left w:val="single" w:color="D8DDE5" w:sz="1"/>
              <w:bottom w:val="single" w:color="D8DDE5" w:sz="1"/>
              <w:right w:val="single" w:color="D8DDE5" w:sz="1"/>
            </w:tcBorders>
            <w:shd w:fill="F6F7F9"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Length</w:t>
            </w:r>
          </w:p>
        </w:tc>
        <w:tc>
          <w:tcPr>
            <w:tcW w:type="dxa" w:w="8064"/>
            <w:tcBorders>
              <w:top w:val="single" w:color="D8DDE5" w:sz="1"/>
              <w:left w:val="single" w:color="D8DDE5" w:sz="1"/>
              <w:bottom w:val="single" w:color="D8DDE5" w:sz="1"/>
              <w:right w:val="single" w:color="D8DDE5" w:sz="1"/>
            </w:tcBorders>
            <w:shd w:fill="F6F7F9" w:val="clear"/>
            <w:tcMar>
              <w:top w:type="dxa" w:w="90"/>
              <w:left w:type="dxa" w:w="130"/>
              <w:bottom w:type="dxa" w:w="90"/>
              <w:right w:type="dxa" w:w="130"/>
            </w:tcMar>
          </w:tcPr>
          <w:p>
            <w:pPr>
              <w:spacing w:after="0" w:before="0" w:line="280"/>
            </w:pPr>
            <w:r>
              <w:rPr>
                <w:rFonts w:ascii="Arial" w:cs="Arial" w:eastAsia="Arial" w:hAnsi="Arial"/>
                <w:i w:val="false"/>
                <w:iCs w:val="false"/>
                <w:color w:val="14181F"/>
                <w:sz w:val="18"/>
                <w:szCs w:val="18"/>
              </w:rPr>
              <w:t xml:space="preserve">One page of prose plus the metric block. Detail goes in an appendix that most readers will not open, which is correct.</w:t>
            </w:r>
          </w:p>
        </w:tc>
      </w:tr>
      <w:tr>
        <w:tc>
          <w:tcPr>
            <w:tcW w:type="dxa" w:w="2016"/>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Audience</w:t>
            </w:r>
          </w:p>
        </w:tc>
        <w:tc>
          <w:tcPr>
            <w:tcW w:type="dxa" w:w="8064"/>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i w:val="false"/>
                <w:iCs w:val="false"/>
                <w:color w:val="14181F"/>
                <w:sz w:val="18"/>
                <w:szCs w:val="18"/>
              </w:rPr>
              <w:t xml:space="preserve">One list. Do not maintain a candid version and a polished version — the two will diverge and someone will receive the wrong one.</w:t>
            </w:r>
          </w:p>
        </w:tc>
      </w:tr>
    </w:tbl>
    <w:p>
      <w:pPr>
        <w:spacing w:after="16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4521A" w:sz="12"/>
              <w:left w:val="single" w:color="D8DDE5" w:sz="1"/>
              <w:bottom w:val="single" w:color="D8DDE5" w:sz="1"/>
              <w:right w:val="single" w:color="D8DDE5" w:sz="1"/>
            </w:tcBorders>
            <w:shd w:fill="F6F7F9" w:val="clear"/>
            <w:tcMar>
              <w:top w:type="dxa" w:w="160"/>
              <w:left w:type="dxa" w:w="180"/>
              <w:bottom w:type="dxa" w:w="160"/>
              <w:right w:type="dxa" w:w="180"/>
            </w:tcMar>
          </w:tcPr>
          <w:p>
            <w:pPr>
              <w:spacing w:after="90" w:before="0" w:line="280"/>
            </w:pPr>
            <w:r>
              <w:rPr>
                <w:rFonts w:ascii="Arial" w:cs="Arial" w:eastAsia="Arial" w:hAnsi="Arial"/>
                <w:b/>
                <w:bCs/>
                <w:caps/>
                <w:color w:val="D4521A"/>
                <w:spacing w:val="24"/>
                <w:sz w:val="15"/>
                <w:szCs w:val="15"/>
              </w:rPr>
              <w:t xml:space="preserve">The rule that makes updates worth writing</w:t>
            </w:r>
          </w:p>
          <w:p>
            <w:pPr>
              <w:spacing w:after="60" w:before="0" w:line="280"/>
            </w:pPr>
            <w:r>
              <w:rPr>
                <w:rFonts w:ascii="Arial" w:cs="Arial" w:eastAsia="Arial" w:hAnsi="Arial"/>
                <w:color w:val="3C4657"/>
                <w:sz w:val="19"/>
                <w:szCs w:val="19"/>
              </w:rPr>
              <w:t xml:space="preserve">Lowlights are not optional and they come before the asks. The reason is practical rather than moral: investors help with problems they know about, and the ask section is where the help is requested. A lowlight raised in month two is a conversation. The same lowlight discovered in month eight is a governance event.</w:t>
            </w:r>
          </w:p>
        </w:tc>
      </w:tr>
    </w:tbl>
    <w:p>
      <w:pPr>
        <w:pStyle w:val="Heading1"/>
        <w:pageBreakBefore/>
        <w:pBdr>
          <w:bottom w:val="single" w:color="D4521A" w:sz="8" w:space="6"/>
        </w:pBdr>
        <w:spacing w:after="60" w:before="0"/>
      </w:pPr>
      <w:r>
        <w:rPr>
          <w:rFonts w:ascii="Arial" w:cs="Arial" w:eastAsia="Arial" w:hAnsi="Arial"/>
          <w:b/>
          <w:bCs/>
          <w:color w:val="14181F"/>
          <w:sz w:val="30"/>
          <w:szCs w:val="30"/>
        </w:rPr>
        <w:t xml:space="preserve">Section 01 · Header and headline</w:t>
      </w:r>
    </w:p>
    <w:p>
      <w:pPr>
        <w:spacing w:after="14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419"/>
        <w:gridCol w:w="7661"/>
      </w:tblGrid>
      <w:tr>
        <w:tc>
          <w:tcPr>
            <w:tcW w:type="dxa" w:w="2419"/>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Subject line</w:t>
            </w:r>
          </w:p>
        </w:tc>
        <w:tc>
          <w:tcPr>
            <w:tcW w:type="dxa" w:w="766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[Company] — [Month Year] Investor Update. Identical format every month, so it is findable and sortable.</w:t>
            </w:r>
          </w:p>
        </w:tc>
      </w:tr>
      <w:tr>
        <w:tc>
          <w:tcPr>
            <w:tcW w:type="dxa" w:w="2419"/>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Period covered</w:t>
            </w:r>
          </w:p>
        </w:tc>
        <w:tc>
          <w:tcPr>
            <w:tcW w:type="dxa" w:w="766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Calendar month</w:t>
            </w:r>
          </w:p>
        </w:tc>
      </w:tr>
      <w:tr>
        <w:tc>
          <w:tcPr>
            <w:tcW w:type="dxa" w:w="2419"/>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Sent</w:t>
            </w:r>
          </w:p>
        </w:tc>
        <w:tc>
          <w:tcPr>
            <w:tcW w:type="dxa" w:w="766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Date, and the recipient list version</w:t>
            </w:r>
          </w:p>
        </w:tc>
      </w:tr>
      <w:tr>
        <w:tc>
          <w:tcPr>
            <w:tcW w:type="dxa" w:w="2419"/>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Confidentiality</w:t>
            </w:r>
          </w:p>
        </w:tc>
        <w:tc>
          <w:tcPr>
            <w:tcW w:type="dxa" w:w="766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State it once, plainly, at the top or the bottom — consistently in the same place</w:t>
            </w:r>
          </w:p>
        </w:tc>
      </w:tr>
    </w:tbl>
    <w:p>
      <w:pPr>
        <w:pStyle w:val="Heading2"/>
        <w:spacing w:after="120" w:before="300"/>
      </w:pPr>
      <w:r>
        <w:rPr>
          <w:rFonts w:ascii="Arial" w:cs="Arial" w:eastAsia="Arial" w:hAnsi="Arial"/>
          <w:b/>
          <w:bCs/>
          <w:caps/>
          <w:color w:val="A83E12"/>
          <w:spacing w:val="24"/>
          <w:sz w:val="17"/>
          <w:szCs w:val="17"/>
        </w:rPr>
        <w:t xml:space="preserve">Headline</w:t>
      </w:r>
    </w:p>
    <w:p>
      <w:pPr>
        <w:spacing w:after="160" w:before="0" w:line="280"/>
      </w:pPr>
      <w:r>
        <w:rPr>
          <w:rFonts w:ascii="Arial" w:cs="Arial" w:eastAsia="Arial" w:hAnsi="Arial"/>
          <w:i/>
          <w:iCs/>
          <w:color w:val="6B7688"/>
          <w:sz w:val="17"/>
          <w:szCs w:val="17"/>
        </w:rPr>
        <w:t xml:space="preserve">Two sentences. The single most important thing that happened, and where the company stands. Written after the rest of the update, not before.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DDE5" w:sz="1"/>
              <w:left w:val="single" w:color="D4521A" w:sz="14"/>
              <w:bottom w:val="single" w:color="D8DDE5" w:sz="1"/>
              <w:right w:val="single" w:color="D8DDE5" w:sz="1"/>
            </w:tcBorders>
            <w:shd w:fill="F6F7F9" w:val="clear"/>
            <w:tcMar>
              <w:top w:type="dxa" w:w="150"/>
              <w:left w:type="dxa" w:w="180"/>
              <w:bottom w:type="dxa" w:w="120"/>
              <w:right w:type="dxa" w:w="180"/>
            </w:tcMar>
          </w:tcPr>
          <w:p>
            <w:pPr>
              <w:spacing w:after="70" w:before="0" w:line="280"/>
            </w:pPr>
            <w:r>
              <w:rPr>
                <w:rFonts w:ascii="Arial" w:cs="Arial" w:eastAsia="Arial" w:hAnsi="Arial"/>
                <w:b/>
                <w:bCs/>
                <w:caps/>
                <w:color w:val="A83E12"/>
                <w:spacing w:val="22"/>
                <w:sz w:val="15"/>
                <w:szCs w:val="15"/>
              </w:rPr>
              <w:t xml:space="preserve"/>
            </w:r>
          </w:p>
          <w:p>
            <w:pPr>
              <w:pBdr>
                <w:bottom w:val="dotted" w:color="9AA3B2" w:sz="4" w:space="2"/>
              </w:pBdr>
              <w:spacing w:after="110"/>
            </w:pPr>
            <w:r>
              <w:rPr>
                <w:rFonts w:ascii="Arial" w:cs="Arial" w:eastAsia="Arial" w:hAnsi="Arial"/>
                <w:color w:val="14181F"/>
                <w:sz w:val="20"/>
                <w:szCs w:val="20"/>
              </w:rPr>
              <w:t xml:space="preserve"/>
            </w:r>
          </w:p>
          <w:p>
            <w:pPr>
              <w:pBdr>
                <w:bottom w:val="dotted" w:color="9AA3B2" w:sz="4" w:space="2"/>
              </w:pBdr>
              <w:spacing w:after="110"/>
            </w:pPr>
            <w:r>
              <w:rPr>
                <w:rFonts w:ascii="Arial" w:cs="Arial" w:eastAsia="Arial" w:hAnsi="Arial"/>
                <w:color w:val="14181F"/>
                <w:sz w:val="20"/>
                <w:szCs w:val="20"/>
              </w:rPr>
              <w:t xml:space="preserve"/>
            </w:r>
          </w:p>
        </w:tc>
      </w:tr>
    </w:tbl>
    <w:p>
      <w:pPr>
        <w:spacing w:after="16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sz="0"/>
              <w:left w:val="single" w:color="C8943A" w:sz="14"/>
              <w:bottom w:val="none" w:sz="0"/>
              <w:right w:val="none" w:sz="0"/>
            </w:tcBorders>
            <w:shd w:fill="FDF7F2" w:val="clear"/>
            <w:tcMar>
              <w:top w:type="dxa" w:w="150"/>
              <w:left w:type="dxa" w:w="180"/>
              <w:bottom w:type="dxa" w:w="150"/>
              <w:right w:type="dxa" w:w="180"/>
            </w:tcMar>
          </w:tcPr>
          <w:p>
            <w:pPr>
              <w:spacing w:after="90" w:before="0" w:line="280"/>
            </w:pPr>
            <w:r>
              <w:rPr>
                <w:rFonts w:ascii="Arial" w:cs="Arial" w:eastAsia="Arial" w:hAnsi="Arial"/>
                <w:b/>
                <w:bCs/>
                <w:caps/>
                <w:color w:val="96702B"/>
                <w:spacing w:val="22"/>
                <w:sz w:val="14"/>
                <w:szCs w:val="14"/>
              </w:rPr>
              <w:t xml:space="preserve">Illustrative composite — not a real engagement</w:t>
            </w:r>
          </w:p>
          <w:p>
            <w:pPr>
              <w:spacing w:after="60" w:before="0" w:line="280"/>
            </w:pPr>
            <w:r>
              <w:rPr>
                <w:rFonts w:ascii="Arial" w:cs="Arial" w:eastAsia="Arial" w:hAnsi="Arial"/>
                <w:b/>
                <w:bCs/>
                <w:color w:val="3C4657"/>
                <w:sz w:val="18"/>
                <w:szCs w:val="18"/>
              </w:rPr>
              <w:t xml:space="preserve">Good: </w:t>
            </w:r>
            <w:r>
              <w:rPr>
                <w:rFonts w:ascii="Arial" w:cs="Arial" w:eastAsia="Arial" w:hAnsi="Arial"/>
                <w:color w:val="3C4657"/>
                <w:sz w:val="18"/>
                <w:szCs w:val="18"/>
              </w:rPr>
              <w:t xml:space="preserve">“We signed our third paying customer at [REDACTED] and crossed $[REDACTED]K ARR. Our lead engineer resigned on the 22nd and the Q4 release will slip by roughly six weeks as a result.”</w:t>
            </w:r>
          </w:p>
          <w:p>
            <w:pPr>
              <w:spacing w:after="60" w:before="0" w:line="280"/>
            </w:pPr>
            <w:r>
              <w:rPr>
                <w:rFonts w:ascii="Arial" w:cs="Arial" w:eastAsia="Arial" w:hAnsi="Arial"/>
                <w:b/>
                <w:bCs/>
                <w:color w:val="3C4657"/>
                <w:sz w:val="18"/>
                <w:szCs w:val="18"/>
              </w:rPr>
              <w:t xml:space="preserve">Weak: </w:t>
            </w:r>
            <w:r>
              <w:rPr>
                <w:rFonts w:ascii="Arial" w:cs="Arial" w:eastAsia="Arial" w:hAnsi="Arial"/>
                <w:color w:val="3C4657"/>
                <w:sz w:val="18"/>
                <w:szCs w:val="18"/>
              </w:rPr>
              <w:t xml:space="preserve">“A busy and productive month with lots of exciting developments across the business.” The reader now has to search for the news, and has learned that they will have to search every month.</w:t>
            </w:r>
          </w:p>
        </w:tc>
      </w:tr>
    </w:tbl>
    <w:p>
      <w:pPr>
        <w:pStyle w:val="Heading1"/>
        <w:pageBreakBefore/>
        <w:pBdr>
          <w:bottom w:val="single" w:color="D4521A" w:sz="8" w:space="6"/>
        </w:pBdr>
        <w:spacing w:after="60" w:before="0"/>
      </w:pPr>
      <w:r>
        <w:rPr>
          <w:rFonts w:ascii="Arial" w:cs="Arial" w:eastAsia="Arial" w:hAnsi="Arial"/>
          <w:b/>
          <w:bCs/>
          <w:color w:val="14181F"/>
          <w:sz w:val="30"/>
          <w:szCs w:val="30"/>
        </w:rPr>
        <w:t xml:space="preserve">Section 02 · Metric block</w:t>
      </w:r>
    </w:p>
    <w:p>
      <w:pPr>
        <w:spacing w:after="140"/>
      </w:pPr>
    </w:p>
    <w:p>
      <w:pPr>
        <w:spacing w:after="160" w:before="0" w:line="280"/>
      </w:pPr>
      <w:r>
        <w:rPr>
          <w:rFonts w:ascii="Arial" w:cs="Arial" w:eastAsia="Arial" w:hAnsi="Arial"/>
          <w:i/>
          <w:iCs/>
          <w:color w:val="6B7688"/>
          <w:sz w:val="17"/>
          <w:szCs w:val="17"/>
        </w:rPr>
        <w:t xml:space="preserve">The same rows every month. A metric enters this block once and never leaves — including when it stops being flattering. Add a row only when the business genuinely changes shape, and note the addition.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218"/>
        <w:gridCol w:w="1310"/>
        <w:gridCol w:w="1310"/>
        <w:gridCol w:w="1008"/>
        <w:gridCol w:w="1310"/>
        <w:gridCol w:w="2923"/>
      </w:tblGrid>
      <w:tr>
        <w:trPr>
          <w:tblHeader/>
        </w:trPr>
        <w:tc>
          <w:tcPr>
            <w:tcW w:type="dxa" w:w="2218"/>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Metric</w:t>
            </w:r>
          </w:p>
        </w:tc>
        <w:tc>
          <w:tcPr>
            <w:tcW w:type="dxa" w:w="1310"/>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This month</w:t>
            </w:r>
          </w:p>
        </w:tc>
        <w:tc>
          <w:tcPr>
            <w:tcW w:type="dxa" w:w="1310"/>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Last month</w:t>
            </w:r>
          </w:p>
        </w:tc>
        <w:tc>
          <w:tcPr>
            <w:tcW w:type="dxa" w:w="1008"/>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Δ</w:t>
            </w:r>
          </w:p>
        </w:tc>
        <w:tc>
          <w:tcPr>
            <w:tcW w:type="dxa" w:w="1310"/>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Plan</w:t>
            </w:r>
          </w:p>
        </w:tc>
        <w:tc>
          <w:tcPr>
            <w:tcW w:type="dxa" w:w="2923"/>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vs. plan</w:t>
            </w:r>
          </w:p>
        </w:tc>
      </w:tr>
      <w:tr>
        <w:tc>
          <w:tcPr>
            <w:tcW w:type="dxa" w:w="2218"/>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Cash on hand</w:t>
            </w:r>
          </w:p>
        </w:tc>
        <w:tc>
          <w:tcPr>
            <w:tcW w:type="dxa" w:w="1310"/>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w:t>
            </w:r>
          </w:p>
        </w:tc>
        <w:tc>
          <w:tcPr>
            <w:tcW w:type="dxa" w:w="1310"/>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008"/>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310"/>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2923"/>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r>
      <w:tr>
        <w:tc>
          <w:tcPr>
            <w:tcW w:type="dxa" w:w="2218"/>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Net burn</w:t>
            </w:r>
          </w:p>
        </w:tc>
        <w:tc>
          <w:tcPr>
            <w:tcW w:type="dxa" w:w="1310"/>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w:t>
            </w:r>
          </w:p>
        </w:tc>
        <w:tc>
          <w:tcPr>
            <w:tcW w:type="dxa" w:w="1310"/>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008"/>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310"/>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2923"/>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r>
      <w:tr>
        <w:tc>
          <w:tcPr>
            <w:tcW w:type="dxa" w:w="2218"/>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Runway (months)</w:t>
            </w:r>
          </w:p>
        </w:tc>
        <w:tc>
          <w:tcPr>
            <w:tcW w:type="dxa" w:w="1310"/>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w:t>
            </w:r>
          </w:p>
        </w:tc>
        <w:tc>
          <w:tcPr>
            <w:tcW w:type="dxa" w:w="1310"/>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008"/>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310"/>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2923"/>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Computed at trailing three-month burn, not planned burn</w:t>
            </w:r>
          </w:p>
        </w:tc>
      </w:tr>
      <w:tr>
        <w:tc>
          <w:tcPr>
            <w:tcW w:type="dxa" w:w="2218"/>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Revenue / ARR</w:t>
            </w:r>
          </w:p>
        </w:tc>
        <w:tc>
          <w:tcPr>
            <w:tcW w:type="dxa" w:w="1310"/>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w:t>
            </w:r>
          </w:p>
        </w:tc>
        <w:tc>
          <w:tcPr>
            <w:tcW w:type="dxa" w:w="1310"/>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008"/>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310"/>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2923"/>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r>
      <w:tr>
        <w:tc>
          <w:tcPr>
            <w:tcW w:type="dxa" w:w="2218"/>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Customers</w:t>
            </w:r>
          </w:p>
        </w:tc>
        <w:tc>
          <w:tcPr>
            <w:tcW w:type="dxa" w:w="1310"/>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w:t>
            </w:r>
          </w:p>
        </w:tc>
        <w:tc>
          <w:tcPr>
            <w:tcW w:type="dxa" w:w="1310"/>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008"/>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310"/>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2923"/>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Paying only. Pilots counted separately.</w:t>
            </w:r>
          </w:p>
        </w:tc>
      </w:tr>
      <w:tr>
        <w:tc>
          <w:tcPr>
            <w:tcW w:type="dxa" w:w="2218"/>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Pipeline value</w:t>
            </w:r>
          </w:p>
        </w:tc>
        <w:tc>
          <w:tcPr>
            <w:tcW w:type="dxa" w:w="1310"/>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w:t>
            </w:r>
          </w:p>
        </w:tc>
        <w:tc>
          <w:tcPr>
            <w:tcW w:type="dxa" w:w="1310"/>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008"/>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310"/>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2923"/>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Weighted, with the stage definitions fixed</w:t>
            </w:r>
          </w:p>
        </w:tc>
      </w:tr>
      <w:tr>
        <w:tc>
          <w:tcPr>
            <w:tcW w:type="dxa" w:w="2218"/>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Headcount</w:t>
            </w:r>
          </w:p>
        </w:tc>
        <w:tc>
          <w:tcPr>
            <w:tcW w:type="dxa" w:w="1310"/>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w:t>
            </w:r>
          </w:p>
        </w:tc>
        <w:tc>
          <w:tcPr>
            <w:tcW w:type="dxa" w:w="1310"/>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008"/>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310"/>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2923"/>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FTE, contractors noted separately</w:t>
            </w:r>
          </w:p>
        </w:tc>
      </w:tr>
      <w:tr>
        <w:tc>
          <w:tcPr>
            <w:tcW w:type="dxa" w:w="2218"/>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Primary product metric</w:t>
            </w:r>
          </w:p>
        </w:tc>
        <w:tc>
          <w:tcPr>
            <w:tcW w:type="dxa" w:w="1310"/>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w:t>
            </w:r>
          </w:p>
        </w:tc>
        <w:tc>
          <w:tcPr>
            <w:tcW w:type="dxa" w:w="1310"/>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008"/>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310"/>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2923"/>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The one number that best proxies whether the product is working. Chosen once.</w:t>
            </w:r>
          </w:p>
        </w:tc>
      </w:tr>
    </w:tbl>
    <w:p>
      <w:pPr>
        <w:spacing w:after="16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4380D" w:sz="12"/>
              <w:left w:val="single" w:color="D8DDE5" w:sz="1"/>
              <w:bottom w:val="single" w:color="D8DDE5" w:sz="1"/>
              <w:right w:val="single" w:color="D8DDE5" w:sz="1"/>
            </w:tcBorders>
            <w:shd w:fill="F6F7F9" w:val="clear"/>
            <w:tcMar>
              <w:top w:type="dxa" w:w="160"/>
              <w:left w:type="dxa" w:w="180"/>
              <w:bottom w:type="dxa" w:w="160"/>
              <w:right w:type="dxa" w:w="180"/>
            </w:tcMar>
          </w:tcPr>
          <w:p>
            <w:pPr>
              <w:spacing w:after="90" w:before="0" w:line="280"/>
            </w:pPr>
            <w:r>
              <w:rPr>
                <w:rFonts w:ascii="Arial" w:cs="Arial" w:eastAsia="Arial" w:hAnsi="Arial"/>
                <w:b/>
                <w:bCs/>
                <w:caps/>
                <w:color w:val="D4380D"/>
                <w:spacing w:val="24"/>
                <w:sz w:val="15"/>
                <w:szCs w:val="15"/>
              </w:rPr>
              <w:t xml:space="preserve">Metric hygiene</w:t>
            </w:r>
          </w:p>
          <w:p>
            <w:pPr>
              <w:spacing w:after="60" w:before="0" w:line="280"/>
            </w:pPr>
            <w:r>
              <w:rPr>
                <w:rFonts w:ascii="Arial" w:cs="Arial" w:eastAsia="Arial" w:hAnsi="Arial"/>
                <w:color w:val="3C4657"/>
                <w:sz w:val="19"/>
                <w:szCs w:val="19"/>
              </w:rPr>
              <w:t xml:space="preserve">Definitions are fixed in writing and restated in the appendix. If a definition changes, restate the prior twelve months on the new basis in the same update. A redefinition presented without restatement reads as a change made to improve the number.</w:t>
            </w:r>
          </w:p>
          <w:p>
            <w:pPr>
              <w:spacing w:after="60" w:before="0" w:line="280"/>
            </w:pPr>
            <w:r>
              <w:rPr>
                <w:rFonts w:ascii="Arial" w:cs="Arial" w:eastAsia="Arial" w:hAnsi="Arial"/>
                <w:color w:val="3C4657"/>
                <w:sz w:val="19"/>
                <w:szCs w:val="19"/>
              </w:rPr>
              <w:t xml:space="preserve">Runway at actual burn. Runway computed at planned burn, when actual burn has exceeded plan for two quarters, is the most common quietly misleading number in early-stage reporting.</w:t>
            </w:r>
          </w:p>
          <w:p>
            <w:pPr>
              <w:spacing w:after="60" w:before="0" w:line="280"/>
            </w:pPr>
            <w:r>
              <w:rPr>
                <w:rFonts w:ascii="Arial" w:cs="Arial" w:eastAsia="Arial" w:hAnsi="Arial"/>
                <w:color w:val="3C4657"/>
                <w:sz w:val="19"/>
                <w:szCs w:val="19"/>
              </w:rPr>
              <w:t xml:space="preserve">Never quietly drop a row. If a metric no longer applies, keep the row and write why it is retired.</w:t>
            </w:r>
          </w:p>
        </w:tc>
      </w:tr>
    </w:tbl>
    <w:p>
      <w:pPr>
        <w:pStyle w:val="Heading1"/>
        <w:pageBreakBefore/>
        <w:pBdr>
          <w:bottom w:val="single" w:color="D4521A" w:sz="8" w:space="6"/>
        </w:pBdr>
        <w:spacing w:after="60" w:before="0"/>
      </w:pPr>
      <w:r>
        <w:rPr>
          <w:rFonts w:ascii="Arial" w:cs="Arial" w:eastAsia="Arial" w:hAnsi="Arial"/>
          <w:b/>
          <w:bCs/>
          <w:color w:val="14181F"/>
          <w:sz w:val="30"/>
          <w:szCs w:val="30"/>
        </w:rPr>
        <w:t xml:space="preserve">Section 03 · Highlights</w:t>
      </w:r>
    </w:p>
    <w:p>
      <w:pPr>
        <w:spacing w:after="140"/>
      </w:pPr>
    </w:p>
    <w:p>
      <w:pPr>
        <w:spacing w:after="160" w:before="0" w:line="280"/>
      </w:pPr>
      <w:r>
        <w:rPr>
          <w:rFonts w:ascii="Arial" w:cs="Arial" w:eastAsia="Arial" w:hAnsi="Arial"/>
          <w:i/>
          <w:iCs/>
          <w:color w:val="6B7688"/>
          <w:sz w:val="17"/>
          <w:szCs w:val="17"/>
        </w:rPr>
        <w:t xml:space="preserve">Three to five bullets. Each is something that happened, with a number or a name attached. “Great progress on the roadmap” is not a highlight.</w:t>
      </w:r>
    </w:p>
    <w:p>
      <w:pPr>
        <w:spacing w:after="90" w:before="0" w:line="280"/>
      </w:pPr>
      <w:r>
        <w:rPr>
          <w:rFonts w:ascii="Arial" w:cs="Arial" w:eastAsia="Arial" w:hAnsi="Arial"/>
          <w:color w:val="6B7688"/>
          <w:sz w:val="22"/>
          <w:szCs w:val="22"/>
        </w:rPr>
        <w:t xml:space="preserve">☐   </w:t>
      </w:r>
      <w:r>
        <w:rPr>
          <w:rFonts w:ascii="Arial" w:cs="Arial" w:eastAsia="Arial" w:hAnsi="Arial"/>
          <w:color w:val="6B7688"/>
          <w:sz w:val="20"/>
          <w:szCs w:val="20"/>
        </w:rPr>
        <w:t xml:space="preserve">Commercial — a signed customer, a converted pilot, a price achieved</w:t>
      </w:r>
    </w:p>
    <w:p>
      <w:pPr>
        <w:spacing w:after="90" w:before="0" w:line="280"/>
      </w:pPr>
      <w:r>
        <w:rPr>
          <w:rFonts w:ascii="Arial" w:cs="Arial" w:eastAsia="Arial" w:hAnsi="Arial"/>
          <w:color w:val="6B7688"/>
          <w:sz w:val="22"/>
          <w:szCs w:val="22"/>
        </w:rPr>
        <w:t xml:space="preserve">☐   </w:t>
      </w:r>
      <w:r>
        <w:rPr>
          <w:rFonts w:ascii="Arial" w:cs="Arial" w:eastAsia="Arial" w:hAnsi="Arial"/>
          <w:color w:val="6B7688"/>
          <w:sz w:val="20"/>
          <w:szCs w:val="20"/>
        </w:rPr>
        <w:t xml:space="preserve">Product — a shipped capability and what it unlocked</w:t>
      </w:r>
    </w:p>
    <w:p>
      <w:pPr>
        <w:spacing w:after="90" w:before="0" w:line="280"/>
      </w:pPr>
      <w:r>
        <w:rPr>
          <w:rFonts w:ascii="Arial" w:cs="Arial" w:eastAsia="Arial" w:hAnsi="Arial"/>
          <w:color w:val="6B7688"/>
          <w:sz w:val="22"/>
          <w:szCs w:val="22"/>
        </w:rPr>
        <w:t xml:space="preserve">☐   </w:t>
      </w:r>
      <w:r>
        <w:rPr>
          <w:rFonts w:ascii="Arial" w:cs="Arial" w:eastAsia="Arial" w:hAnsi="Arial"/>
          <w:color w:val="6B7688"/>
          <w:sz w:val="20"/>
          <w:szCs w:val="20"/>
        </w:rPr>
        <w:t xml:space="preserve">Team — a hire that closed a named gap</w:t>
      </w:r>
    </w:p>
    <w:p>
      <w:pPr>
        <w:spacing w:after="90" w:before="0" w:line="280"/>
      </w:pPr>
      <w:r>
        <w:rPr>
          <w:rFonts w:ascii="Arial" w:cs="Arial" w:eastAsia="Arial" w:hAnsi="Arial"/>
          <w:color w:val="6B7688"/>
          <w:sz w:val="22"/>
          <w:szCs w:val="22"/>
        </w:rPr>
        <w:t xml:space="preserve">☐   </w:t>
      </w:r>
      <w:r>
        <w:rPr>
          <w:rFonts w:ascii="Arial" w:cs="Arial" w:eastAsia="Arial" w:hAnsi="Arial"/>
          <w:color w:val="6B7688"/>
          <w:sz w:val="20"/>
          <w:szCs w:val="20"/>
        </w:rPr>
        <w:t xml:space="preserve">Capital — non-dilutive award, grant, or round progress</w:t>
      </w:r>
    </w:p>
    <w:p>
      <w:pPr>
        <w:pStyle w:val="Heading1"/>
        <w:pBdr>
          <w:bottom w:val="single" w:color="D4521A" w:sz="8" w:space="6"/>
        </w:pBdr>
        <w:spacing w:after="60" w:before="400"/>
      </w:pPr>
      <w:r>
        <w:rPr>
          <w:rFonts w:ascii="Arial" w:cs="Arial" w:eastAsia="Arial" w:hAnsi="Arial"/>
          <w:b/>
          <w:bCs/>
          <w:color w:val="14181F"/>
          <w:sz w:val="30"/>
          <w:szCs w:val="30"/>
        </w:rPr>
        <w:t xml:space="preserve">Section 04 · Lowlights</w:t>
      </w:r>
    </w:p>
    <w:p>
      <w:pPr>
        <w:spacing w:after="140"/>
      </w:pPr>
    </w:p>
    <w:p>
      <w:pPr>
        <w:spacing w:after="160" w:before="0" w:line="280"/>
      </w:pPr>
      <w:r>
        <w:rPr>
          <w:rFonts w:ascii="Arial" w:cs="Arial" w:eastAsia="Arial" w:hAnsi="Arial"/>
          <w:i/>
          <w:iCs/>
          <w:color w:val="6B7688"/>
          <w:sz w:val="17"/>
          <w:szCs w:val="17"/>
        </w:rPr>
        <w:t xml:space="preserve">Two to four. Non-negotiable. An update with an empty lowlights section for three consecutive months is not being read as good news.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226"/>
        <w:gridCol w:w="2621"/>
        <w:gridCol w:w="4234"/>
      </w:tblGrid>
      <w:tr>
        <w:trPr>
          <w:tblHeader/>
        </w:trPr>
        <w:tc>
          <w:tcPr>
            <w:tcW w:type="dxa" w:w="3226"/>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What went wrong</w:t>
            </w:r>
          </w:p>
        </w:tc>
        <w:tc>
          <w:tcPr>
            <w:tcW w:type="dxa" w:w="2621"/>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Impact</w:t>
            </w:r>
          </w:p>
        </w:tc>
        <w:tc>
          <w:tcPr>
            <w:tcW w:type="dxa" w:w="4234"/>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What is being done · by when</w:t>
            </w:r>
          </w:p>
        </w:tc>
      </w:tr>
      <w:tr>
        <w:tc>
          <w:tcPr>
            <w:tcW w:type="dxa" w:w="3226"/>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Specific and factual</w:t>
            </w:r>
          </w:p>
        </w:tc>
        <w:tc>
          <w:tcPr>
            <w:tcW w:type="dxa" w:w="262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Quantified where it can be — weeks, dollars, customers</w:t>
            </w:r>
          </w:p>
        </w:tc>
        <w:tc>
          <w:tcPr>
            <w:tcW w:type="dxa" w:w="423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The action, the owner, and the date. Not “we are monitoring the situation.”</w:t>
            </w:r>
          </w:p>
        </w:tc>
      </w:tr>
      <w:tr>
        <w:tc>
          <w:tcPr>
            <w:tcW w:type="dxa" w:w="3226"/>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262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423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r>
      <w:tr>
        <w:tc>
          <w:tcPr>
            <w:tcW w:type="dxa" w:w="3226"/>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262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423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r>
    </w:tbl>
    <w:p>
      <w:pPr>
        <w:pStyle w:val="Heading2"/>
        <w:spacing w:after="120" w:before="300"/>
      </w:pPr>
      <w:r>
        <w:rPr>
          <w:rFonts w:ascii="Arial" w:cs="Arial" w:eastAsia="Arial" w:hAnsi="Arial"/>
          <w:b/>
          <w:bCs/>
          <w:caps/>
          <w:color w:val="A83E12"/>
          <w:spacing w:val="24"/>
          <w:sz w:val="17"/>
          <w:szCs w:val="17"/>
        </w:rPr>
        <w:t xml:space="preserve">Changed my mind</w:t>
      </w:r>
    </w:p>
    <w:p>
      <w:pPr>
        <w:spacing w:after="160" w:before="0" w:line="280"/>
      </w:pPr>
      <w:r>
        <w:rPr>
          <w:rFonts w:ascii="Arial" w:cs="Arial" w:eastAsia="Arial" w:hAnsi="Arial"/>
          <w:i/>
          <w:iCs/>
          <w:color w:val="6B7688"/>
          <w:sz w:val="17"/>
          <w:szCs w:val="17"/>
        </w:rPr>
        <w:t xml:space="preserve">Optional, and the section experienced investors read first. Something believed last month that is no longer believed, and what changed it. This is the clearest available signal that the company is learning rather than defending.</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DDE5" w:sz="1"/>
              <w:left w:val="single" w:color="D4521A" w:sz="14"/>
              <w:bottom w:val="single" w:color="D8DDE5" w:sz="1"/>
              <w:right w:val="single" w:color="D8DDE5" w:sz="1"/>
            </w:tcBorders>
            <w:shd w:fill="F6F7F9" w:val="clear"/>
            <w:tcMar>
              <w:top w:type="dxa" w:w="150"/>
              <w:left w:type="dxa" w:w="180"/>
              <w:bottom w:type="dxa" w:w="120"/>
              <w:right w:type="dxa" w:w="180"/>
            </w:tcMar>
          </w:tcPr>
          <w:p>
            <w:pPr>
              <w:spacing w:after="70" w:before="0" w:line="280"/>
            </w:pPr>
            <w:r>
              <w:rPr>
                <w:rFonts w:ascii="Arial" w:cs="Arial" w:eastAsia="Arial" w:hAnsi="Arial"/>
                <w:b/>
                <w:bCs/>
                <w:caps/>
                <w:color w:val="A83E12"/>
                <w:spacing w:val="22"/>
                <w:sz w:val="15"/>
                <w:szCs w:val="15"/>
              </w:rPr>
              <w:t xml:space="preserve"/>
            </w:r>
          </w:p>
          <w:p>
            <w:pPr>
              <w:pBdr>
                <w:bottom w:val="dotted" w:color="9AA3B2" w:sz="4" w:space="2"/>
              </w:pBdr>
              <w:spacing w:after="110"/>
            </w:pPr>
            <w:r>
              <w:rPr>
                <w:rFonts w:ascii="Arial" w:cs="Arial" w:eastAsia="Arial" w:hAnsi="Arial"/>
                <w:color w:val="14181F"/>
                <w:sz w:val="20"/>
                <w:szCs w:val="20"/>
              </w:rPr>
              <w:t xml:space="preserve"/>
            </w:r>
          </w:p>
          <w:p>
            <w:pPr>
              <w:pBdr>
                <w:bottom w:val="dotted" w:color="9AA3B2" w:sz="4" w:space="2"/>
              </w:pBdr>
              <w:spacing w:after="110"/>
            </w:pPr>
            <w:r>
              <w:rPr>
                <w:rFonts w:ascii="Arial" w:cs="Arial" w:eastAsia="Arial" w:hAnsi="Arial"/>
                <w:color w:val="14181F"/>
                <w:sz w:val="20"/>
                <w:szCs w:val="20"/>
              </w:rPr>
              <w:t xml:space="preserve"/>
            </w:r>
          </w:p>
        </w:tc>
      </w:tr>
    </w:tbl>
    <w:p>
      <w:pPr>
        <w:pStyle w:val="Heading1"/>
        <w:pageBreakBefore/>
        <w:pBdr>
          <w:bottom w:val="single" w:color="D4521A" w:sz="8" w:space="6"/>
        </w:pBdr>
        <w:spacing w:after="60" w:before="0"/>
      </w:pPr>
      <w:r>
        <w:rPr>
          <w:rFonts w:ascii="Arial" w:cs="Arial" w:eastAsia="Arial" w:hAnsi="Arial"/>
          <w:b/>
          <w:bCs/>
          <w:color w:val="14181F"/>
          <w:sz w:val="30"/>
          <w:szCs w:val="30"/>
        </w:rPr>
        <w:t xml:space="preserve">Section 05 · Progress against the plan</w:t>
      </w:r>
    </w:p>
    <w:p>
      <w:pPr>
        <w:spacing w:after="140"/>
      </w:pPr>
    </w:p>
    <w:p>
      <w:pPr>
        <w:spacing w:after="160" w:before="0" w:line="280"/>
      </w:pPr>
      <w:r>
        <w:rPr>
          <w:rFonts w:ascii="Arial" w:cs="Arial" w:eastAsia="Arial" w:hAnsi="Arial"/>
          <w:i/>
          <w:iCs/>
          <w:color w:val="6B7688"/>
          <w:sz w:val="17"/>
          <w:szCs w:val="17"/>
        </w:rPr>
        <w:t xml:space="preserve">The milestones committed at the last round, tracked the same way every month until each is closed out.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621"/>
        <w:gridCol w:w="1411"/>
        <w:gridCol w:w="1613"/>
        <w:gridCol w:w="1411"/>
        <w:gridCol w:w="3024"/>
      </w:tblGrid>
      <w:tr>
        <w:trPr>
          <w:tblHeader/>
        </w:trPr>
        <w:tc>
          <w:tcPr>
            <w:tcW w:type="dxa" w:w="2621"/>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Milestone</w:t>
            </w:r>
          </w:p>
        </w:tc>
        <w:tc>
          <w:tcPr>
            <w:tcW w:type="dxa" w:w="1411"/>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Target date</w:t>
            </w:r>
          </w:p>
        </w:tc>
        <w:tc>
          <w:tcPr>
            <w:tcW w:type="dxa" w:w="1613"/>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Status</w:t>
            </w:r>
          </w:p>
        </w:tc>
        <w:tc>
          <w:tcPr>
            <w:tcW w:type="dxa" w:w="1411"/>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Confidence</w:t>
            </w:r>
          </w:p>
        </w:tc>
        <w:tc>
          <w:tcPr>
            <w:tcW w:type="dxa" w:w="3024"/>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Note</w:t>
            </w:r>
          </w:p>
        </w:tc>
      </w:tr>
      <w:tr>
        <w:tc>
          <w:tcPr>
            <w:tcW w:type="dxa" w:w="262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As stated at the round</w:t>
            </w:r>
          </w:p>
        </w:tc>
        <w:tc>
          <w:tcPr>
            <w:tcW w:type="dxa" w:w="141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613"/>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On track / At risk / Slipped / Done</w:t>
            </w:r>
          </w:p>
        </w:tc>
        <w:tc>
          <w:tcPr>
            <w:tcW w:type="dxa" w:w="141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High / Med / Low</w:t>
            </w:r>
          </w:p>
        </w:tc>
        <w:tc>
          <w:tcPr>
            <w:tcW w:type="dxa" w:w="302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If slipped, the new date and the reason — stated the first month it slips, not the third</w:t>
            </w:r>
          </w:p>
        </w:tc>
      </w:tr>
      <w:tr>
        <w:tc>
          <w:tcPr>
            <w:tcW w:type="dxa" w:w="262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41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613"/>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41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302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r>
      <w:tr>
        <w:tc>
          <w:tcPr>
            <w:tcW w:type="dxa" w:w="262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41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613"/>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41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302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r>
    </w:tbl>
    <w:p>
      <w:pPr>
        <w:pStyle w:val="Heading2"/>
        <w:spacing w:after="120" w:before="300"/>
      </w:pPr>
      <w:r>
        <w:rPr>
          <w:rFonts w:ascii="Arial" w:cs="Arial" w:eastAsia="Arial" w:hAnsi="Arial"/>
          <w:b/>
          <w:bCs/>
          <w:caps/>
          <w:color w:val="A83E12"/>
          <w:spacing w:val="24"/>
          <w:sz w:val="17"/>
          <w:szCs w:val="17"/>
        </w:rPr>
        <w:t xml:space="preserve">Focus for next month</w:t>
      </w:r>
    </w:p>
    <w:p>
      <w:pPr>
        <w:spacing w:after="160" w:before="0" w:line="280"/>
      </w:pPr>
      <w:r>
        <w:rPr>
          <w:rFonts w:ascii="Arial" w:cs="Arial" w:eastAsia="Arial" w:hAnsi="Arial"/>
          <w:i/>
          <w:iCs/>
          <w:color w:val="6B7688"/>
          <w:sz w:val="17"/>
          <w:szCs w:val="17"/>
        </w:rPr>
        <w:t xml:space="preserve">Three priorities. Carried into next month’s update and reported against. This is what makes the sequence of updates a record rather than a series of announcements.</w:t>
      </w:r>
    </w:p>
    <w:p>
      <w:pPr>
        <w:spacing w:after="90" w:before="0" w:line="280"/>
      </w:pPr>
      <w:r>
        <w:rPr>
          <w:rFonts w:ascii="Arial" w:cs="Arial" w:eastAsia="Arial" w:hAnsi="Arial"/>
          <w:color w:val="6B7688"/>
          <w:sz w:val="22"/>
          <w:szCs w:val="22"/>
        </w:rPr>
        <w:t xml:space="preserve">☐   </w:t>
      </w:r>
      <w:r>
        <w:rPr>
          <w:rFonts w:ascii="Arial" w:cs="Arial" w:eastAsia="Arial" w:hAnsi="Arial"/>
          <w:color w:val="14181F"/>
          <w:sz w:val="20"/>
          <w:szCs w:val="20"/>
        </w:rPr>
        <w:t xml:space="preserve">Priority 1</w:t>
      </w:r>
    </w:p>
    <w:p>
      <w:pPr>
        <w:spacing w:after="90" w:before="0" w:line="280"/>
      </w:pPr>
      <w:r>
        <w:rPr>
          <w:rFonts w:ascii="Arial" w:cs="Arial" w:eastAsia="Arial" w:hAnsi="Arial"/>
          <w:color w:val="6B7688"/>
          <w:sz w:val="22"/>
          <w:szCs w:val="22"/>
        </w:rPr>
        <w:t xml:space="preserve">☐   </w:t>
      </w:r>
      <w:r>
        <w:rPr>
          <w:rFonts w:ascii="Arial" w:cs="Arial" w:eastAsia="Arial" w:hAnsi="Arial"/>
          <w:color w:val="14181F"/>
          <w:sz w:val="20"/>
          <w:szCs w:val="20"/>
        </w:rPr>
        <w:t xml:space="preserve">Priority 2</w:t>
      </w:r>
    </w:p>
    <w:p>
      <w:pPr>
        <w:spacing w:after="90" w:before="0" w:line="280"/>
      </w:pPr>
      <w:r>
        <w:rPr>
          <w:rFonts w:ascii="Arial" w:cs="Arial" w:eastAsia="Arial" w:hAnsi="Arial"/>
          <w:color w:val="6B7688"/>
          <w:sz w:val="22"/>
          <w:szCs w:val="22"/>
        </w:rPr>
        <w:t xml:space="preserve">☐   </w:t>
      </w:r>
      <w:r>
        <w:rPr>
          <w:rFonts w:ascii="Arial" w:cs="Arial" w:eastAsia="Arial" w:hAnsi="Arial"/>
          <w:color w:val="14181F"/>
          <w:sz w:val="20"/>
          <w:szCs w:val="20"/>
        </w:rPr>
        <w:t xml:space="preserve">Priority 3</w:t>
      </w:r>
    </w:p>
    <w:p>
      <w:pPr>
        <w:pStyle w:val="Heading1"/>
        <w:pBdr>
          <w:bottom w:val="single" w:color="D4521A" w:sz="8" w:space="6"/>
        </w:pBdr>
        <w:spacing w:after="60" w:before="400"/>
      </w:pPr>
      <w:r>
        <w:rPr>
          <w:rFonts w:ascii="Arial" w:cs="Arial" w:eastAsia="Arial" w:hAnsi="Arial"/>
          <w:b/>
          <w:bCs/>
          <w:color w:val="14181F"/>
          <w:sz w:val="30"/>
          <w:szCs w:val="30"/>
        </w:rPr>
        <w:t xml:space="preserve">Section 06 · Asks</w:t>
      </w:r>
    </w:p>
    <w:p>
      <w:pPr>
        <w:spacing w:after="140"/>
      </w:pPr>
    </w:p>
    <w:p>
      <w:pPr>
        <w:spacing w:after="200" w:before="0" w:line="280"/>
      </w:pPr>
      <w:r>
        <w:rPr>
          <w:rFonts w:ascii="Arial" w:cs="Arial" w:eastAsia="Arial" w:hAnsi="Arial"/>
          <w:color w:val="3C4657"/>
          <w:sz w:val="22"/>
          <w:szCs w:val="22"/>
        </w:rPr>
        <w:t xml:space="preserve">The section that determines whether the update generates value or merely reports it.</w:t>
      </w:r>
    </w:p>
    <w:p>
      <w:pPr>
        <w:spacing w:after="160" w:before="0" w:line="280"/>
      </w:pPr>
      <w:r>
        <w:rPr>
          <w:rFonts w:ascii="Arial" w:cs="Arial" w:eastAsia="Arial" w:hAnsi="Arial"/>
          <w:i/>
          <w:iCs/>
          <w:color w:val="6B7688"/>
          <w:sz w:val="17"/>
          <w:szCs w:val="17"/>
        </w:rPr>
        <w:t xml:space="preserve">Specific enough to act on in under ten minutes. “Introductions to health systems” is not actionable. “An introduction to anyone in supply-chain leadership at a hospital network above 500 beds in the Northeast” is.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016"/>
        <w:gridCol w:w="3024"/>
        <w:gridCol w:w="1814"/>
        <w:gridCol w:w="3226"/>
      </w:tblGrid>
      <w:tr>
        <w:trPr>
          <w:tblHeader/>
        </w:trPr>
        <w:tc>
          <w:tcPr>
            <w:tcW w:type="dxa" w:w="2016"/>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Ask</w:t>
            </w:r>
          </w:p>
        </w:tc>
        <w:tc>
          <w:tcPr>
            <w:tcW w:type="dxa" w:w="3024"/>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Specifically</w:t>
            </w:r>
          </w:p>
        </w:tc>
        <w:tc>
          <w:tcPr>
            <w:tcW w:type="dxa" w:w="1814"/>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Who can help</w:t>
            </w:r>
          </w:p>
        </w:tc>
        <w:tc>
          <w:tcPr>
            <w:tcW w:type="dxa" w:w="3226"/>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Status of last month’s asks</w:t>
            </w:r>
          </w:p>
        </w:tc>
      </w:tr>
      <w:tr>
        <w:tc>
          <w:tcPr>
            <w:tcW w:type="dxa" w:w="2016"/>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Introduction</w:t>
            </w:r>
          </w:p>
        </w:tc>
        <w:tc>
          <w:tcPr>
            <w:tcW w:type="dxa" w:w="302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Named role, named organization type, named geography</w:t>
            </w:r>
          </w:p>
        </w:tc>
        <w:tc>
          <w:tcPr>
            <w:tcW w:type="dxa" w:w="181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Anyone / a named investor</w:t>
            </w:r>
          </w:p>
        </w:tc>
        <w:tc>
          <w:tcPr>
            <w:tcW w:type="dxa" w:w="3226"/>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Close the loop on every prior ask. Unacknowledged help stops arriving.</w:t>
            </w:r>
          </w:p>
        </w:tc>
      </w:tr>
      <w:tr>
        <w:tc>
          <w:tcPr>
            <w:tcW w:type="dxa" w:w="2016"/>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Hiring</w:t>
            </w:r>
          </w:p>
        </w:tc>
        <w:tc>
          <w:tcPr>
            <w:tcW w:type="dxa" w:w="302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The role, the profile, the location</w:t>
            </w:r>
          </w:p>
        </w:tc>
        <w:tc>
          <w:tcPr>
            <w:tcW w:type="dxa" w:w="181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3226"/>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r>
      <w:tr>
        <w:tc>
          <w:tcPr>
            <w:tcW w:type="dxa" w:w="2016"/>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Expertise</w:t>
            </w:r>
          </w:p>
        </w:tc>
        <w:tc>
          <w:tcPr>
            <w:tcW w:type="dxa" w:w="302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The specific question, and how much of their time it needs</w:t>
            </w:r>
          </w:p>
        </w:tc>
        <w:tc>
          <w:tcPr>
            <w:tcW w:type="dxa" w:w="181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3226"/>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r>
    </w:tbl>
    <w:p>
      <w:pPr>
        <w:pStyle w:val="Heading1"/>
        <w:pageBreakBefore/>
        <w:pBdr>
          <w:bottom w:val="single" w:color="D4521A" w:sz="8" w:space="6"/>
        </w:pBdr>
        <w:spacing w:after="60" w:before="0"/>
      </w:pPr>
      <w:r>
        <w:rPr>
          <w:rFonts w:ascii="Arial" w:cs="Arial" w:eastAsia="Arial" w:hAnsi="Arial"/>
          <w:b/>
          <w:bCs/>
          <w:color w:val="14181F"/>
          <w:sz w:val="30"/>
          <w:szCs w:val="30"/>
        </w:rPr>
        <w:t xml:space="preserve">Section 07 · Appendix</w:t>
      </w:r>
    </w:p>
    <w:p>
      <w:pPr>
        <w:spacing w:after="140"/>
      </w:pPr>
    </w:p>
    <w:p>
      <w:pPr>
        <w:pStyle w:val="ListParagraph"/>
        <w:numPr>
          <w:ilvl w:val="0"/>
          <w:numId w:val="2"/>
        </w:numPr>
        <w:spacing w:after="80" w:line="280"/>
      </w:pPr>
      <w:r>
        <w:rPr>
          <w:rFonts w:ascii="Arial" w:cs="Arial" w:eastAsia="Arial" w:hAnsi="Arial"/>
          <w:b/>
          <w:bCs/>
          <w:color w:val="14181F"/>
          <w:sz w:val="20"/>
          <w:szCs w:val="20"/>
        </w:rPr>
        <w:t xml:space="preserve">Metric definitions</w:t>
      </w:r>
      <w:r>
        <w:rPr>
          <w:rFonts w:ascii="Arial" w:cs="Arial" w:eastAsia="Arial" w:hAnsi="Arial"/>
          <w:color w:val="14181F"/>
          <w:sz w:val="20"/>
          <w:szCs w:val="20"/>
        </w:rPr>
        <w:t xml:space="preserve"> — restated each month. This is what allows a reader to trust a comparison across twelve updates.</w:t>
      </w:r>
    </w:p>
    <w:p>
      <w:pPr>
        <w:pStyle w:val="ListParagraph"/>
        <w:numPr>
          <w:ilvl w:val="0"/>
          <w:numId w:val="2"/>
        </w:numPr>
        <w:spacing w:after="80" w:line="280"/>
      </w:pPr>
      <w:r>
        <w:rPr>
          <w:rFonts w:ascii="Arial" w:cs="Arial" w:eastAsia="Arial" w:hAnsi="Arial"/>
          <w:b/>
          <w:bCs/>
          <w:color w:val="14181F"/>
          <w:sz w:val="20"/>
          <w:szCs w:val="20"/>
        </w:rPr>
        <w:t xml:space="preserve">Detailed financials</w:t>
      </w:r>
      <w:r>
        <w:rPr>
          <w:rFonts w:ascii="Arial" w:cs="Arial" w:eastAsia="Arial" w:hAnsi="Arial"/>
          <w:color w:val="14181F"/>
          <w:sz w:val="20"/>
          <w:szCs w:val="20"/>
        </w:rPr>
        <w:t xml:space="preserve"> — P&amp;L and cash position, for readers who want them.</w:t>
      </w:r>
    </w:p>
    <w:p>
      <w:pPr>
        <w:pStyle w:val="ListParagraph"/>
        <w:numPr>
          <w:ilvl w:val="0"/>
          <w:numId w:val="2"/>
        </w:numPr>
        <w:spacing w:after="80" w:line="280"/>
      </w:pPr>
      <w:r>
        <w:rPr>
          <w:rFonts w:ascii="Arial" w:cs="Arial" w:eastAsia="Arial" w:hAnsi="Arial"/>
          <w:b/>
          <w:bCs/>
          <w:color w:val="14181F"/>
          <w:sz w:val="20"/>
          <w:szCs w:val="20"/>
        </w:rPr>
        <w:t xml:space="preserve">Product detail</w:t>
      </w:r>
      <w:r>
        <w:rPr>
          <w:rFonts w:ascii="Arial" w:cs="Arial" w:eastAsia="Arial" w:hAnsi="Arial"/>
          <w:color w:val="14181F"/>
          <w:sz w:val="20"/>
          <w:szCs w:val="20"/>
        </w:rPr>
        <w:t xml:space="preserve"> — releases, roadmap movement, technical notes.</w:t>
      </w:r>
    </w:p>
    <w:p>
      <w:pPr>
        <w:pStyle w:val="ListParagraph"/>
        <w:numPr>
          <w:ilvl w:val="0"/>
          <w:numId w:val="2"/>
        </w:numPr>
        <w:spacing w:after="80" w:line="280"/>
      </w:pPr>
      <w:r>
        <w:rPr>
          <w:rFonts w:ascii="Arial" w:cs="Arial" w:eastAsia="Arial" w:hAnsi="Arial"/>
          <w:b/>
          <w:bCs/>
          <w:color w:val="14181F"/>
          <w:sz w:val="20"/>
          <w:szCs w:val="20"/>
        </w:rPr>
        <w:t xml:space="preserve">Team</w:t>
      </w:r>
      <w:r>
        <w:rPr>
          <w:rFonts w:ascii="Arial" w:cs="Arial" w:eastAsia="Arial" w:hAnsi="Arial"/>
          <w:color w:val="14181F"/>
          <w:sz w:val="20"/>
          <w:szCs w:val="20"/>
        </w:rPr>
        <w:t xml:space="preserve"> — joiners, leavers, open roles.</w:t>
      </w:r>
    </w:p>
    <w:p>
      <w:pPr>
        <w:pStyle w:val="ListParagraph"/>
        <w:numPr>
          <w:ilvl w:val="0"/>
          <w:numId w:val="2"/>
        </w:numPr>
        <w:spacing w:after="80" w:line="280"/>
      </w:pPr>
      <w:r>
        <w:rPr>
          <w:rFonts w:ascii="Arial" w:cs="Arial" w:eastAsia="Arial" w:hAnsi="Arial"/>
          <w:b/>
          <w:bCs/>
          <w:color w:val="14181F"/>
          <w:sz w:val="20"/>
          <w:szCs w:val="20"/>
        </w:rPr>
        <w:t xml:space="preserve">Cap table summary</w:t>
      </w:r>
      <w:r>
        <w:rPr>
          <w:rFonts w:ascii="Arial" w:cs="Arial" w:eastAsia="Arial" w:hAnsi="Arial"/>
          <w:color w:val="14181F"/>
          <w:sz w:val="20"/>
          <w:szCs w:val="20"/>
        </w:rPr>
        <w:t xml:space="preserve"> — updated when anything changes, and only then.</w:t>
      </w:r>
    </w:p>
    <w:p>
      <w:pPr>
        <w:pStyle w:val="Heading2"/>
        <w:spacing w:after="120" w:before="300"/>
      </w:pPr>
      <w:r>
        <w:rPr>
          <w:rFonts w:ascii="Arial" w:cs="Arial" w:eastAsia="Arial" w:hAnsi="Arial"/>
          <w:b/>
          <w:bCs/>
          <w:caps/>
          <w:color w:val="A83E12"/>
          <w:spacing w:val="24"/>
          <w:sz w:val="17"/>
          <w:szCs w:val="17"/>
        </w:rPr>
        <w:t xml:space="preserve">Annual cycle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016"/>
        <w:gridCol w:w="8064"/>
      </w:tblGrid>
      <w:tr>
        <w:trPr>
          <w:tblHeader/>
        </w:trPr>
        <w:tc>
          <w:tcPr>
            <w:tcW w:type="dxa" w:w="2016"/>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Cadence</w:t>
            </w:r>
          </w:p>
        </w:tc>
        <w:tc>
          <w:tcPr>
            <w:tcW w:type="dxa" w:w="8064"/>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Addition to the standard update</w:t>
            </w:r>
          </w:p>
        </w:tc>
      </w:tr>
      <w:tr>
        <w:tc>
          <w:tcPr>
            <w:tcW w:type="dxa" w:w="2016"/>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Monthly</w:t>
            </w:r>
          </w:p>
        </w:tc>
        <w:tc>
          <w:tcPr>
            <w:tcW w:type="dxa" w:w="8064"/>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i w:val="false"/>
                <w:iCs w:val="false"/>
                <w:color w:val="14181F"/>
                <w:sz w:val="18"/>
                <w:szCs w:val="18"/>
              </w:rPr>
              <w:t xml:space="preserve">This template, unchanged.</w:t>
            </w:r>
          </w:p>
        </w:tc>
      </w:tr>
      <w:tr>
        <w:tc>
          <w:tcPr>
            <w:tcW w:type="dxa" w:w="2016"/>
            <w:tcBorders>
              <w:top w:val="single" w:color="D8DDE5" w:sz="1"/>
              <w:left w:val="single" w:color="D8DDE5" w:sz="1"/>
              <w:bottom w:val="single" w:color="D8DDE5" w:sz="1"/>
              <w:right w:val="single" w:color="D8DDE5" w:sz="1"/>
            </w:tcBorders>
            <w:shd w:fill="F6F7F9"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Quarterly</w:t>
            </w:r>
          </w:p>
        </w:tc>
        <w:tc>
          <w:tcPr>
            <w:tcW w:type="dxa" w:w="8064"/>
            <w:tcBorders>
              <w:top w:val="single" w:color="D8DDE5" w:sz="1"/>
              <w:left w:val="single" w:color="D8DDE5" w:sz="1"/>
              <w:bottom w:val="single" w:color="D8DDE5" w:sz="1"/>
              <w:right w:val="single" w:color="D8DDE5" w:sz="1"/>
            </w:tcBorders>
            <w:shd w:fill="F6F7F9" w:val="clear"/>
            <w:tcMar>
              <w:top w:type="dxa" w:w="90"/>
              <w:left w:type="dxa" w:w="130"/>
              <w:bottom w:type="dxa" w:w="90"/>
              <w:right w:type="dxa" w:w="130"/>
            </w:tcMar>
          </w:tcPr>
          <w:p>
            <w:pPr>
              <w:spacing w:after="0" w:before="0" w:line="280"/>
            </w:pPr>
            <w:r>
              <w:rPr>
                <w:rFonts w:ascii="Arial" w:cs="Arial" w:eastAsia="Arial" w:hAnsi="Arial"/>
                <w:i w:val="false"/>
                <w:iCs w:val="false"/>
                <w:color w:val="14181F"/>
                <w:sz w:val="18"/>
                <w:szCs w:val="18"/>
              </w:rPr>
              <w:t xml:space="preserve">Add a board-level view: gate status, strategy check, and any change to the capital plan.</w:t>
            </w:r>
          </w:p>
        </w:tc>
      </w:tr>
      <w:tr>
        <w:tc>
          <w:tcPr>
            <w:tcW w:type="dxa" w:w="2016"/>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Annually</w:t>
            </w:r>
          </w:p>
        </w:tc>
        <w:tc>
          <w:tcPr>
            <w:tcW w:type="dxa" w:w="8064"/>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i w:val="false"/>
                <w:iCs w:val="false"/>
                <w:color w:val="14181F"/>
                <w:sz w:val="18"/>
                <w:szCs w:val="18"/>
              </w:rPr>
              <w:t xml:space="preserve">Add the year in review: what was committed, what was delivered, what was learned, and the plan for the coming year with its assumptions stated.</w:t>
            </w:r>
          </w:p>
        </w:tc>
      </w:tr>
    </w:tbl>
    <w:p>
      <w:pPr>
        <w:spacing w:after="16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4380D" w:sz="12"/>
              <w:left w:val="single" w:color="D8DDE5" w:sz="1"/>
              <w:bottom w:val="single" w:color="D8DDE5" w:sz="1"/>
              <w:right w:val="single" w:color="D8DDE5" w:sz="1"/>
            </w:tcBorders>
            <w:shd w:fill="F6F7F9" w:val="clear"/>
            <w:tcMar>
              <w:top w:type="dxa" w:w="160"/>
              <w:left w:type="dxa" w:w="180"/>
              <w:bottom w:type="dxa" w:w="160"/>
              <w:right w:type="dxa" w:w="180"/>
            </w:tcMar>
          </w:tcPr>
          <w:p>
            <w:pPr>
              <w:spacing w:after="90" w:before="0" w:line="280"/>
            </w:pPr>
            <w:r>
              <w:rPr>
                <w:rFonts w:ascii="Arial" w:cs="Arial" w:eastAsia="Arial" w:hAnsi="Arial"/>
                <w:b/>
                <w:bCs/>
                <w:caps/>
                <w:color w:val="D4380D"/>
                <w:spacing w:val="24"/>
                <w:sz w:val="15"/>
                <w:szCs w:val="15"/>
              </w:rPr>
              <w:t xml:space="preserve">Four ways this template gets undermined</w:t>
            </w:r>
          </w:p>
          <w:p>
            <w:pPr>
              <w:spacing w:after="60" w:before="0" w:line="280"/>
            </w:pPr>
            <w:r>
              <w:rPr>
                <w:rFonts w:ascii="Arial" w:cs="Arial" w:eastAsia="Arial" w:hAnsi="Arial"/>
                <w:color w:val="3C4657"/>
                <w:sz w:val="19"/>
                <w:szCs w:val="19"/>
              </w:rPr>
              <w:t xml:space="preserve">1. Skipping a bad month. The silence is louder than the update would have been, and the next update has to explain two months at once.</w:t>
            </w:r>
          </w:p>
          <w:p>
            <w:pPr>
              <w:spacing w:after="60" w:before="0" w:line="280"/>
            </w:pPr>
            <w:r>
              <w:rPr>
                <w:rFonts w:ascii="Arial" w:cs="Arial" w:eastAsia="Arial" w:hAnsi="Arial"/>
                <w:color w:val="3C4657"/>
                <w:sz w:val="19"/>
                <w:szCs w:val="19"/>
              </w:rPr>
              <w:t xml:space="preserve">2. Redefining a metric without restating history. Even when the new definition is better, the change reads as management of the number rather than of the business.</w:t>
            </w:r>
          </w:p>
          <w:p>
            <w:pPr>
              <w:spacing w:after="60" w:before="0" w:line="280"/>
            </w:pPr>
            <w:r>
              <w:rPr>
                <w:rFonts w:ascii="Arial" w:cs="Arial" w:eastAsia="Arial" w:hAnsi="Arial"/>
                <w:color w:val="3C4657"/>
                <w:sz w:val="19"/>
                <w:szCs w:val="19"/>
              </w:rPr>
              <w:t xml:space="preserve">3. Asks with no follow-up. An investor who makes an introduction and never learns what happened will not make a second one.</w:t>
            </w:r>
          </w:p>
          <w:p>
            <w:pPr>
              <w:spacing w:after="60" w:before="0" w:line="280"/>
            </w:pPr>
            <w:r>
              <w:rPr>
                <w:rFonts w:ascii="Arial" w:cs="Arial" w:eastAsia="Arial" w:hAnsi="Arial"/>
                <w:color w:val="3C4657"/>
                <w:sz w:val="19"/>
                <w:szCs w:val="19"/>
              </w:rPr>
              <w:t xml:space="preserve">4. Two versions for two audiences. They diverge, and eventually the wrong one is forwarded.</w:t>
            </w:r>
          </w:p>
        </w:tc>
      </w:tr>
    </w:tbl>
    <w:p>
      <w:pPr>
        <w:spacing w:after="300"/>
      </w:pPr>
    </w:p>
    <w:p>
      <w:pPr>
        <w:pBdr>
          <w:top w:val="single" w:color="D8DDE5" w:sz="1" w:space="8"/>
        </w:pBdr>
        <w:spacing w:after="120"/>
      </w:pPr>
    </w:p>
    <w:p>
      <w:pPr>
        <w:spacing w:after="0" w:before="0" w:line="260"/>
      </w:pPr>
      <w:r>
        <w:rPr>
          <w:rFonts w:ascii="Arial" w:cs="Arial" w:eastAsia="Arial" w:hAnsi="Arial"/>
          <w:b/>
          <w:bCs/>
          <w:color w:val="6B7688"/>
          <w:sz w:val="15"/>
          <w:szCs w:val="15"/>
        </w:rPr>
        <w:t xml:space="preserve">Crucible, by Infinity Forge · Investor Update Template · v1.0 · August 2026. </w:t>
      </w:r>
      <w:r>
        <w:rPr>
          <w:rFonts w:ascii="Arial" w:cs="Arial" w:eastAsia="Arial" w:hAnsi="Arial"/>
          <w:color w:val="9AA3B2"/>
          <w:sz w:val="15"/>
          <w:szCs w:val="15"/>
        </w:rPr>
        <w:t xml:space="preserve">Redacted sample from the Crucible artifact library. Structure is complete and usable; all illustrative content is a composite and does not describe any actual engagement, company, or transaction. Reporting obligations to specific investors are governed by the company’s financing documents; this template does not replace them. © 2026 Infinity Forge, LLC. infinityforge.ai</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DDE5" w:sz="1" w:space="4"/>
      </w:pBdr>
    </w:pPr>
    <w:r>
      <w:rPr>
        <w:rFonts w:ascii="Arial" w:cs="Arial" w:eastAsia="Arial" w:hAnsi="Arial"/>
        <w:color w:val="9AA3B2"/>
        <w:spacing w:val="24"/>
        <w:sz w:val="13"/>
        <w:szCs w:val="13"/>
      </w:rPr>
      <w:t xml:space="preserve">INFINITY FORGE  ·  CRUCIBLE  ·  V1.0  ·  AUGUST 2026</w:t>
    </w:r>
    <w:r>
      <w:rPr>
        <w:rFonts w:ascii="Arial" w:cs="Arial" w:eastAsia="Arial" w:hAnsi="Arial"/>
        <w:color w:val="9AA3B2"/>
        <w:sz w:val="13"/>
        <w:szCs w:val="13"/>
      </w:rPr>
      <w:ptab w:alignment="right" w:relativeTo="margin" w:leader="none"/>
      <w:t xml:space="preserve">INFINITYFORGE.AI  ·  </w:t>
    </w:r>
    <w:r>
      <w:rPr>
        <w:rFonts w:ascii="Arial" w:cs="Arial" w:eastAsia="Arial" w:hAnsi="Arial"/>
        <w:color w:val="9AA3B2"/>
        <w:sz w:val="13"/>
        <w:szCs w:val="13"/>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8DDE5" w:sz="1" w:space="4"/>
      </w:pBdr>
      <w:jc w:val="right"/>
    </w:pPr>
    <w:r>
      <w:rPr>
        <w:rFonts w:ascii="Arial" w:cs="Arial" w:eastAsia="Arial" w:hAnsi="Arial"/>
        <w:color w:val="9AA3B2"/>
        <w:spacing w:val="26"/>
        <w:sz w:val="13"/>
        <w:szCs w:val="13"/>
      </w:rPr>
      <w:t xml:space="preserve">CRUCIBLE  ·  INVESTOR UPDATE TEMPLATE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abstractNum w:abstractNumId="3" w15:restartNumberingAfterBreak="0">
    <w:multiLevelType w:val="hybridMultilevel"/>
    <w:lvl w:ilvl="0" w15:tentative="1">
      <w:start w:val="1"/>
      <w:numFmt w:val="decimal"/>
      <w:lvlText w:val="%1."/>
      <w:lvlJc w:val="left"/>
      <w:pPr>
        <w:ind w:left="4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4181F"/>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400"/>
      <w:outlineLvl w:val="0"/>
    </w:pPr>
    <w:rPr>
      <w:rFonts w:ascii="Arial" w:cs="Arial" w:eastAsia="Arial" w:hAnsi="Arial"/>
      <w:b/>
      <w:bCs/>
      <w:color w:val="14181F"/>
      <w:sz w:val="30"/>
      <w:szCs w:val="30"/>
    </w:rPr>
  </w:style>
  <w:style w:type="paragraph" w:styleId="Heading2">
    <w:name w:val="Heading 2"/>
    <w:basedOn w:val="Normal"/>
    <w:next w:val="Normal"/>
    <w:qFormat/>
    <w:pPr>
      <w:spacing w:after="120" w:before="300"/>
      <w:outlineLvl w:val="1"/>
    </w:pPr>
    <w:rPr>
      <w:rFonts w:ascii="Arial" w:cs="Arial" w:eastAsia="Arial" w:hAnsi="Arial"/>
      <w:b/>
      <w:bCs/>
      <w:color w:val="A83E12"/>
      <w:sz w:val="17"/>
      <w:szCs w:val="17"/>
    </w:rPr>
  </w:style>
  <w:style w:type="paragraph" w:styleId="Heading3">
    <w:name w:val="Heading 3"/>
    <w:basedOn w:val="Normal"/>
    <w:next w:val="Normal"/>
    <w:qFormat/>
    <w:pPr>
      <w:spacing w:after="90" w:before="200"/>
      <w:outlineLvl w:val="2"/>
    </w:pPr>
    <w:rPr>
      <w:rFonts w:ascii="Arial" w:cs="Arial" w:eastAsia="Arial" w:hAnsi="Arial"/>
      <w:b/>
      <w:bCs/>
      <w:color w:val="14181F"/>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Investor Update Template — Crucible, by Infinity Forge</dc:title>
  <dc:creator>Infinity Forge, LLC</dc:creator>
  <dc:description>Crucible artifact library — redacted sample, editable working copy.</dc:description>
  <cp:lastModifiedBy>Un-named</cp:lastModifiedBy>
  <cp:revision>1</cp:revision>
  <dcterms:created xsi:type="dcterms:W3CDTF">2026-08-12T17:03:25.444Z</dcterms:created>
  <dcterms:modified xsi:type="dcterms:W3CDTF">2026-08-12T17:03:25.444Z</dcterms:modified>
</cp:coreProperties>
</file>

<file path=docProps/custom.xml><?xml version="1.0" encoding="utf-8"?>
<Properties xmlns="http://schemas.openxmlformats.org/officeDocument/2006/custom-properties" xmlns:vt="http://schemas.openxmlformats.org/officeDocument/2006/docPropsVTypes"/>
</file>