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color w:val="96702B"/>
          <w:spacing w:val="40"/>
          <w:sz w:val="14"/>
          <w:szCs w:val="14"/>
        </w:rPr>
        <w:t xml:space="preserve">INFINITY FORGE</w:t>
      </w:r>
      <w:r>
        <w:rPr>
          <w:rFonts w:ascii="Arial" w:cs="Arial" w:eastAsia="Arial" w:hAnsi="Arial"/>
          <w:color w:val="9AA3B2"/>
          <w:sz w:val="14"/>
          <w:szCs w:val="14"/>
        </w:rPr>
        <w:t xml:space="preserve">   →   </w:t>
      </w:r>
      <w:r>
        <w:rPr>
          <w:rFonts w:ascii="Arial" w:cs="Arial" w:eastAsia="Arial" w:hAnsi="Arial"/>
          <w:b/>
          <w:bCs/>
          <w:color w:val="D4521A"/>
          <w:spacing w:val="32"/>
          <w:sz w:val="16"/>
          <w:szCs w:val="16"/>
        </w:rPr>
        <w:t xml:space="preserve">CRUCIBLE</w:t>
      </w:r>
    </w:p>
    <w:p>
      <w:pPr>
        <w:pBdr>
          <w:bottom w:val="single" w:color="D4521A" w:sz="10" w:space="8"/>
        </w:pBdr>
        <w:spacing w:after="300"/>
      </w:pPr>
      <w:r>
        <w:rPr>
          <w:rFonts w:ascii="Arial" w:cs="Arial" w:eastAsia="Arial" w:hAnsi="Arial"/>
          <w:color w:val="9AA3B2"/>
          <w:spacing w:val="30"/>
          <w:sz w:val="13"/>
          <w:szCs w:val="13"/>
        </w:rPr>
        <w:t xml:space="preserve">ARTIFACT LIBRARY  ·  MEMO  ·  STAGE: BUILD</w:t>
      </w:r>
    </w:p>
    <w:p>
      <w:pPr>
        <w:spacing w:after="120" w:before="0" w:line="480"/>
      </w:pPr>
      <w:r>
        <w:rPr>
          <w:rFonts w:ascii="Arial" w:cs="Arial" w:eastAsia="Arial" w:hAnsi="Arial"/>
          <w:b/>
          <w:bCs/>
          <w:color w:val="D4521A"/>
          <w:sz w:val="48"/>
          <w:szCs w:val="48"/>
        </w:rPr>
        <w:t xml:space="preserve">Underwriting Memo Skeleton</w:t>
      </w:r>
    </w:p>
    <w:p>
      <w:pPr>
        <w:spacing w:after="240" w:before="0" w:line="280"/>
      </w:pPr>
      <w:r>
        <w:rPr>
          <w:rFonts w:ascii="Arial" w:cs="Arial" w:eastAsia="Arial" w:hAnsi="Arial"/>
          <w:i/>
          <w:iCs/>
          <w:color w:val="6B7688"/>
          <w:sz w:val="24"/>
          <w:szCs w:val="24"/>
        </w:rPr>
        <w:t xml:space="preserve">The structure an investment case has to survive before it leaves the pipeline.</w:t>
      </w:r>
    </w:p>
    <w:p>
      <w:pPr>
        <w:spacing w:after="200" w:before="0" w:line="320"/>
      </w:pPr>
      <w:r>
        <w:rPr>
          <w:rFonts w:ascii="Arial" w:cs="Arial" w:eastAsia="Arial" w:hAnsi="Arial"/>
          <w:color w:val="3C4657"/>
          <w:sz w:val="19"/>
          <w:szCs w:val="19"/>
        </w:rPr>
        <w:t xml:space="preserve">The skeleton Crucible uses to assemble an investment memo at the Build gate. It is organized around a single question — what has to be true for this to be a good investment, and what evidence exists today for each of those things. Every section carries an evidence-grade field, so the reader can see where the case is proven and where it is asserted. Fill it in order; the sections are sequenced so that a weak answer early makes the later sections cheaper to abandon.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96702B" w:sz="12"/>
              <w:left w:val="single" w:color="D8DDE5" w:sz="1"/>
              <w:bottom w:val="single" w:color="D8DDE5" w:sz="1"/>
              <w:right w:val="single" w:color="D8DDE5" w:sz="1"/>
            </w:tcBorders>
            <w:shd w:fill="F6F7F9" w:val="clear"/>
            <w:tcMar>
              <w:top w:type="dxa" w:w="160"/>
              <w:left w:type="dxa" w:w="180"/>
              <w:bottom w:type="dxa" w:w="160"/>
              <w:right w:type="dxa" w:w="180"/>
            </w:tcMar>
          </w:tcPr>
          <w:p>
            <w:pPr>
              <w:spacing w:after="90" w:before="0" w:line="280"/>
            </w:pPr>
            <w:r>
              <w:rPr>
                <w:rFonts w:ascii="Arial" w:cs="Arial" w:eastAsia="Arial" w:hAnsi="Arial"/>
                <w:b/>
                <w:bCs/>
                <w:caps/>
                <w:color w:val="96702B"/>
                <w:spacing w:val="24"/>
                <w:sz w:val="15"/>
                <w:szCs w:val="15"/>
              </w:rPr>
              <w:t xml:space="preserve">Editable working copy</w:t>
            </w:r>
          </w:p>
          <w:p>
            <w:pPr>
              <w:spacing w:after="60" w:before="0" w:line="280"/>
            </w:pPr>
            <w:r>
              <w:rPr>
                <w:rFonts w:ascii="Arial" w:cs="Arial" w:eastAsia="Arial" w:hAnsi="Arial"/>
                <w:color w:val="3C4657"/>
                <w:sz w:val="19"/>
                <w:szCs w:val="19"/>
              </w:rPr>
              <w:t xml:space="preserve">This is the fill-in version of a redacted sample from the Crucible artifact library. The structure is complete and usable. Every italic, shaded cell is a prompt to be replaced with your own content. All illustrative examples are composites and do not describe any actual engagement, company, or transaction.</w:t>
            </w:r>
          </w:p>
          <w:p>
            <w:pPr>
              <w:spacing w:after="60" w:before="0" w:line="280"/>
            </w:pPr>
            <w:r>
              <w:rPr>
                <w:rFonts w:ascii="Arial" w:cs="Arial" w:eastAsia="Arial" w:hAnsi="Arial"/>
                <w:color w:val="3C4657"/>
                <w:sz w:val="19"/>
                <w:szCs w:val="19"/>
              </w:rPr>
              <w:t xml:space="preserve">Companion PDF: the same artifact, typeset for reading and circulation. Both are available at infinityforge.ai/proof#artifacts.</w:t>
            </w:r>
          </w:p>
        </w:tc>
      </w:tr>
    </w:tbl>
    <w:p>
      <w:pPr>
        <w:spacing w:after="200"/>
      </w:pPr>
    </w:p>
    <w:p>
      <w:pPr>
        <w:pStyle w:val="Heading1"/>
        <w:pBdr>
          <w:bottom w:val="single" w:color="D4521A" w:sz="8" w:space="6"/>
        </w:pBdr>
        <w:spacing w:after="60" w:before="400"/>
      </w:pPr>
      <w:r>
        <w:rPr>
          <w:rFonts w:ascii="Arial" w:cs="Arial" w:eastAsia="Arial" w:hAnsi="Arial"/>
          <w:b/>
          <w:bCs/>
          <w:color w:val="14181F"/>
          <w:sz w:val="30"/>
          <w:szCs w:val="30"/>
        </w:rPr>
        <w:t xml:space="preserve">How to use this</w:t>
      </w:r>
    </w:p>
    <w:p>
      <w:pPr>
        <w:spacing w:after="140"/>
      </w:pPr>
    </w:p>
    <w:p>
      <w:pPr>
        <w:spacing w:after="200" w:before="0" w:line="280"/>
      </w:pPr>
      <w:r>
        <w:rPr>
          <w:rFonts w:ascii="Arial" w:cs="Arial" w:eastAsia="Arial" w:hAnsi="Arial"/>
          <w:color w:val="3C4657"/>
          <w:sz w:val="22"/>
          <w:szCs w:val="22"/>
        </w:rPr>
        <w:t xml:space="preserve">An underwriting memo is not a pitch written in the third person. It is the written record of a decision — what has to be true for this investment to work, what evidence exists today for each of those things, and what the author is choosing to believe in the absence of evidence.</w:t>
      </w:r>
    </w:p>
    <w:p>
      <w:pPr>
        <w:spacing w:after="140" w:before="0" w:line="280"/>
      </w:pPr>
      <w:r>
        <w:rPr>
          <w:rFonts w:ascii="Arial" w:cs="Arial" w:eastAsia="Arial" w:hAnsi="Arial"/>
          <w:color w:val="14181F"/>
          <w:sz w:val="20"/>
          <w:szCs w:val="20"/>
        </w:rPr>
        <w:t xml:space="preserve">This skeleton is what Crucible fills in at the Build gate, when the question in front of the company changes from “is the product shippable” to “is the company investable.” It is deliberately ordered so that a weak answer early makes the later sections cheaper to abandon. Fill it in sequence. If section 3 cannot be answered, do not write sections 4 through 11.</w:t>
      </w:r>
    </w:p>
    <w:p>
      <w:pPr>
        <w:spacing w:after="1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4521A" w:sz="12"/>
              <w:left w:val="single" w:color="D8DDE5" w:sz="1"/>
              <w:bottom w:val="single" w:color="D8DDE5" w:sz="1"/>
              <w:right w:val="single" w:color="D8DDE5" w:sz="1"/>
            </w:tcBorders>
            <w:shd w:fill="F6F7F9" w:val="clear"/>
            <w:tcMar>
              <w:top w:type="dxa" w:w="160"/>
              <w:left w:type="dxa" w:w="180"/>
              <w:bottom w:type="dxa" w:w="160"/>
              <w:right w:type="dxa" w:w="180"/>
            </w:tcMar>
          </w:tcPr>
          <w:p>
            <w:pPr>
              <w:spacing w:after="90" w:before="0" w:line="280"/>
            </w:pPr>
            <w:r>
              <w:rPr>
                <w:rFonts w:ascii="Arial" w:cs="Arial" w:eastAsia="Arial" w:hAnsi="Arial"/>
                <w:b/>
                <w:bCs/>
                <w:caps/>
                <w:color w:val="D4521A"/>
                <w:spacing w:val="24"/>
                <w:sz w:val="15"/>
                <w:szCs w:val="15"/>
              </w:rPr>
              <w:t xml:space="preserve">The rule that makes the memo useful</w:t>
            </w:r>
          </w:p>
          <w:p>
            <w:pPr>
              <w:spacing w:after="60" w:before="0" w:line="280"/>
            </w:pPr>
            <w:r>
              <w:rPr>
                <w:rFonts w:ascii="Arial" w:cs="Arial" w:eastAsia="Arial" w:hAnsi="Arial"/>
                <w:color w:val="3C4657"/>
                <w:sz w:val="19"/>
                <w:szCs w:val="19"/>
              </w:rPr>
              <w:t xml:space="preserve">Every substantive claim carries an evidence grade. A memo in which everything is graded A is not a rigorous memo — it is an incurious one. The value of the instrument is that it makes the D-graded claims visible to the reader, in the same typeface as everything else.</w:t>
            </w:r>
          </w:p>
        </w:tc>
      </w:tr>
    </w:tbl>
    <w:p>
      <w:pPr>
        <w:spacing w:after="160"/>
      </w:pPr>
    </w:p>
    <w:p>
      <w:pPr>
        <w:pStyle w:val="Heading2"/>
        <w:spacing w:after="120" w:before="300"/>
      </w:pPr>
      <w:r>
        <w:rPr>
          <w:rFonts w:ascii="Arial" w:cs="Arial" w:eastAsia="Arial" w:hAnsi="Arial"/>
          <w:b/>
          <w:bCs/>
          <w:caps/>
          <w:color w:val="A83E12"/>
          <w:spacing w:val="24"/>
          <w:sz w:val="17"/>
          <w:szCs w:val="17"/>
        </w:rPr>
        <w:t xml:space="preserve">Evidence grades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411"/>
        <w:gridCol w:w="3226"/>
        <w:gridCol w:w="5443"/>
      </w:tblGrid>
      <w:tr>
        <w:trPr>
          <w:tblHeader/>
        </w:trPr>
        <w:tc>
          <w:tcPr>
            <w:tcW w:type="dxa" w:w="1411"/>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Grade</w:t>
            </w:r>
          </w:p>
        </w:tc>
        <w:tc>
          <w:tcPr>
            <w:tcW w:type="dxa" w:w="3226"/>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Means</w:t>
            </w:r>
          </w:p>
        </w:tc>
        <w:tc>
          <w:tcPr>
            <w:tcW w:type="dxa" w:w="5443"/>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Examples of what qualifies</w:t>
            </w:r>
          </w:p>
        </w:tc>
      </w:tr>
      <w:tr>
        <w:tc>
          <w:tcPr>
            <w:tcW w:type="dxa" w:w="1411"/>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A · Verified</w:t>
            </w:r>
          </w:p>
        </w:tc>
        <w:tc>
          <w:tcPr>
            <w:tcW w:type="dxa" w:w="3226"/>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Independently confirmed by a source with no interest in the outcome.</w:t>
            </w:r>
          </w:p>
        </w:tc>
        <w:tc>
          <w:tcPr>
            <w:tcW w:type="dxa" w:w="5443"/>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Signed contract, audited statement, third-party lab result, reference call with a paying customer.</w:t>
            </w:r>
          </w:p>
        </w:tc>
      </w:tr>
      <w:tr>
        <w:tc>
          <w:tcPr>
            <w:tcW w:type="dxa" w:w="1411"/>
            <w:tcBorders>
              <w:top w:val="single" w:color="D8DDE5" w:sz="1"/>
              <w:left w:val="single" w:color="D8DDE5" w:sz="1"/>
              <w:bottom w:val="single" w:color="D8DDE5" w:sz="1"/>
              <w:right w:val="single" w:color="D8DDE5" w:sz="1"/>
            </w:tcBorders>
            <w:shd w:fill="F6F7F9"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B · Documented</w:t>
            </w:r>
          </w:p>
        </w:tc>
        <w:tc>
          <w:tcPr>
            <w:tcW w:type="dxa" w:w="3226"/>
            <w:tcBorders>
              <w:top w:val="single" w:color="D8DDE5" w:sz="1"/>
              <w:left w:val="single" w:color="D8DDE5" w:sz="1"/>
              <w:bottom w:val="single" w:color="D8DDE5" w:sz="1"/>
              <w:right w:val="single" w:color="D8DDE5" w:sz="1"/>
            </w:tcBorders>
            <w:shd w:fill="F6F7F9"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Company-produced, but written down, dated, and checkable.</w:t>
            </w:r>
          </w:p>
        </w:tc>
        <w:tc>
          <w:tcPr>
            <w:tcW w:type="dxa" w:w="5443"/>
            <w:tcBorders>
              <w:top w:val="single" w:color="D8DDE5" w:sz="1"/>
              <w:left w:val="single" w:color="D8DDE5" w:sz="1"/>
              <w:bottom w:val="single" w:color="D8DDE5" w:sz="1"/>
              <w:right w:val="single" w:color="D8DDE5" w:sz="1"/>
            </w:tcBorders>
            <w:shd w:fill="F6F7F9"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Bank statement, cap table with instruments attached, patent filing receipt, product telemetry export.</w:t>
            </w:r>
          </w:p>
        </w:tc>
      </w:tr>
      <w:tr>
        <w:tc>
          <w:tcPr>
            <w:tcW w:type="dxa" w:w="1411"/>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C · Asserted</w:t>
            </w:r>
          </w:p>
        </w:tc>
        <w:tc>
          <w:tcPr>
            <w:tcW w:type="dxa" w:w="3226"/>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Stated by the team, plausible, not yet corroborated.</w:t>
            </w:r>
          </w:p>
        </w:tc>
        <w:tc>
          <w:tcPr>
            <w:tcW w:type="dxa" w:w="5443"/>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Pipeline forecast, verbal customer intent, planned hiring, “the incumbent cannot do this.”</w:t>
            </w:r>
          </w:p>
        </w:tc>
      </w:tr>
      <w:tr>
        <w:tc>
          <w:tcPr>
            <w:tcW w:type="dxa" w:w="1411"/>
            <w:tcBorders>
              <w:top w:val="single" w:color="D8DDE5" w:sz="1"/>
              <w:left w:val="single" w:color="D8DDE5" w:sz="1"/>
              <w:bottom w:val="single" w:color="D8DDE5" w:sz="1"/>
              <w:right w:val="single" w:color="D8DDE5" w:sz="1"/>
            </w:tcBorders>
            <w:shd w:fill="F6F7F9"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D · Modeled</w:t>
            </w:r>
          </w:p>
        </w:tc>
        <w:tc>
          <w:tcPr>
            <w:tcW w:type="dxa" w:w="3226"/>
            <w:tcBorders>
              <w:top w:val="single" w:color="D8DDE5" w:sz="1"/>
              <w:left w:val="single" w:color="D8DDE5" w:sz="1"/>
              <w:bottom w:val="single" w:color="D8DDE5" w:sz="1"/>
              <w:right w:val="single" w:color="D8DDE5" w:sz="1"/>
            </w:tcBorders>
            <w:shd w:fill="F6F7F9"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Derived from assumptions the author chose. State the assumptions.</w:t>
            </w:r>
          </w:p>
        </w:tc>
        <w:tc>
          <w:tcPr>
            <w:tcW w:type="dxa" w:w="5443"/>
            <w:tcBorders>
              <w:top w:val="single" w:color="D8DDE5" w:sz="1"/>
              <w:left w:val="single" w:color="D8DDE5" w:sz="1"/>
              <w:bottom w:val="single" w:color="D8DDE5" w:sz="1"/>
              <w:right w:val="single" w:color="D8DDE5" w:sz="1"/>
            </w:tcBorders>
            <w:shd w:fill="F6F7F9"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TAM build-up, unit economics at scale, time-to-milestone, dilution path.</w:t>
            </w:r>
          </w:p>
        </w:tc>
      </w:tr>
    </w:tbl>
    <w:p>
      <w:pPr>
        <w:spacing w:after="160" w:before="0" w:line="280"/>
      </w:pPr>
      <w:r>
        <w:rPr>
          <w:rFonts w:ascii="Arial" w:cs="Arial" w:eastAsia="Arial" w:hAnsi="Arial"/>
          <w:i/>
          <w:iCs/>
          <w:color w:val="6B7688"/>
          <w:sz w:val="17"/>
          <w:szCs w:val="17"/>
        </w:rPr>
        <w:t xml:space="preserve">Grade the claim, not the sentence. If one paragraph mixes an A fact with a D projection, split it.</w:t>
      </w:r>
    </w:p>
    <w:p>
      <w:pPr>
        <w:pStyle w:val="Heading2"/>
        <w:spacing w:after="120" w:before="300"/>
      </w:pPr>
      <w:r>
        <w:rPr>
          <w:rFonts w:ascii="Arial" w:cs="Arial" w:eastAsia="Arial" w:hAnsi="Arial"/>
          <w:b/>
          <w:bCs/>
          <w:caps/>
          <w:color w:val="A83E12"/>
          <w:spacing w:val="24"/>
          <w:sz w:val="17"/>
          <w:szCs w:val="17"/>
        </w:rPr>
        <w:t xml:space="preserve">Length discipline</w:t>
      </w:r>
    </w:p>
    <w:p>
      <w:pPr>
        <w:spacing w:after="140" w:before="0" w:line="280"/>
      </w:pPr>
      <w:r>
        <w:rPr>
          <w:rFonts w:ascii="Arial" w:cs="Arial" w:eastAsia="Arial" w:hAnsi="Arial"/>
          <w:color w:val="14181F"/>
          <w:sz w:val="20"/>
          <w:szCs w:val="20"/>
        </w:rPr>
        <w:t xml:space="preserve">Target eight to twelve pages excluding appendices. A memo that runs longer is usually substituting volume for a position. Sections 1 and 12 should be readable on their own by someone who reads nothing else.</w:t>
      </w:r>
    </w:p>
    <w:p>
      <w:pPr>
        <w:pStyle w:val="Heading1"/>
        <w:pageBreakBefore/>
        <w:pBdr>
          <w:bottom w:val="single" w:color="D4521A" w:sz="8" w:space="6"/>
        </w:pBdr>
        <w:spacing w:after="60" w:before="0"/>
      </w:pPr>
      <w:r>
        <w:rPr>
          <w:rFonts w:ascii="Arial" w:cs="Arial" w:eastAsia="Arial" w:hAnsi="Arial"/>
          <w:b/>
          <w:bCs/>
          <w:color w:val="14181F"/>
          <w:sz w:val="30"/>
          <w:szCs w:val="30"/>
        </w:rPr>
        <w:t xml:space="preserve">Section 01 · Recommendation</w:t>
      </w:r>
    </w:p>
    <w:p>
      <w:pPr>
        <w:spacing w:after="140"/>
      </w:pPr>
    </w:p>
    <w:p>
      <w:pPr>
        <w:spacing w:after="160" w:before="0" w:line="280"/>
      </w:pPr>
      <w:r>
        <w:rPr>
          <w:rFonts w:ascii="Arial" w:cs="Arial" w:eastAsia="Arial" w:hAnsi="Arial"/>
          <w:i/>
          <w:iCs/>
          <w:color w:val="6B7688"/>
          <w:sz w:val="17"/>
          <w:szCs w:val="17"/>
        </w:rPr>
        <w:t xml:space="preserve">One page. Written last, read first.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DDE5" w:sz="1"/>
              <w:left w:val="single" w:color="D4521A" w:sz="14"/>
              <w:bottom w:val="single" w:color="D8DDE5" w:sz="1"/>
              <w:right w:val="single" w:color="D8DDE5" w:sz="1"/>
            </w:tcBorders>
            <w:shd w:fill="F6F7F9" w:val="clear"/>
            <w:tcMar>
              <w:top w:type="dxa" w:w="150"/>
              <w:left w:type="dxa" w:w="180"/>
              <w:bottom w:type="dxa" w:w="120"/>
              <w:right w:type="dxa" w:w="180"/>
            </w:tcMar>
          </w:tcPr>
          <w:p>
            <w:pPr>
              <w:spacing w:after="70" w:before="0" w:line="280"/>
            </w:pPr>
            <w:r>
              <w:rPr>
                <w:rFonts w:ascii="Arial" w:cs="Arial" w:eastAsia="Arial" w:hAnsi="Arial"/>
                <w:b/>
                <w:bCs/>
                <w:caps/>
                <w:color w:val="A83E12"/>
                <w:spacing w:val="22"/>
                <w:sz w:val="15"/>
                <w:szCs w:val="15"/>
              </w:rPr>
              <w:t xml:space="preserve">Recommendation</w:t>
            </w:r>
          </w:p>
          <w:p>
            <w:pPr>
              <w:spacing w:after="110" w:before="0" w:line="280"/>
            </w:pPr>
            <w:r>
              <w:rPr>
                <w:rFonts w:ascii="Arial" w:cs="Arial" w:eastAsia="Arial" w:hAnsi="Arial"/>
                <w:i/>
                <w:iCs/>
                <w:color w:val="6B7688"/>
                <w:sz w:val="17"/>
                <w:szCs w:val="17"/>
              </w:rPr>
              <w:t xml:space="preserve">Proceed · Proceed with conditions · Decline · Defer to a named milestone. State it in the first sentence, without preamble.</w:t>
            </w:r>
          </w:p>
          <w:p>
            <w:pPr>
              <w:pBdr>
                <w:bottom w:val="dotted" w:color="9AA3B2" w:sz="4" w:space="2"/>
              </w:pBdr>
              <w:spacing w:after="110"/>
            </w:pPr>
            <w:r>
              <w:rPr>
                <w:rFonts w:ascii="Arial" w:cs="Arial" w:eastAsia="Arial" w:hAnsi="Arial"/>
                <w:color w:val="14181F"/>
                <w:sz w:val="20"/>
                <w:szCs w:val="20"/>
              </w:rPr>
              <w:t xml:space="preserve"/>
            </w:r>
          </w:p>
          <w:p>
            <w:pPr>
              <w:pBdr>
                <w:bottom w:val="dotted" w:color="9AA3B2" w:sz="4" w:space="2"/>
              </w:pBdr>
              <w:spacing w:after="110"/>
            </w:pPr>
            <w:r>
              <w:rPr>
                <w:rFonts w:ascii="Arial" w:cs="Arial" w:eastAsia="Arial" w:hAnsi="Arial"/>
                <w:color w:val="14181F"/>
                <w:sz w:val="20"/>
                <w:szCs w:val="20"/>
              </w:rPr>
              <w:t xml:space="preserve"/>
            </w:r>
          </w:p>
        </w:tc>
      </w:tr>
    </w:tbl>
    <w:p>
      <w:pPr>
        <w:spacing w:after="1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024"/>
        <w:gridCol w:w="7056"/>
      </w:tblGrid>
      <w:tr>
        <w:tc>
          <w:tcPr>
            <w:tcW w:type="dxa" w:w="3024"/>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Company</w:t>
            </w:r>
          </w:p>
        </w:tc>
        <w:tc>
          <w:tcPr>
            <w:tcW w:type="dxa" w:w="705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Legal name, jurisdiction of incorporation, date formed</w:t>
            </w:r>
          </w:p>
        </w:tc>
      </w:tr>
      <w:tr>
        <w:tc>
          <w:tcPr>
            <w:tcW w:type="dxa" w:w="3024"/>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Instrument &amp; amount</w:t>
            </w:r>
          </w:p>
        </w:tc>
        <w:tc>
          <w:tcPr>
            <w:tcW w:type="dxa" w:w="705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e.g. $2,000,000 on a priced Series Seed at a $12,000,000 pre-money valuation</w:t>
            </w:r>
          </w:p>
        </w:tc>
      </w:tr>
      <w:tr>
        <w:tc>
          <w:tcPr>
            <w:tcW w:type="dxa" w:w="3024"/>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Resulting ownership</w:t>
            </w:r>
          </w:p>
        </w:tc>
        <w:tc>
          <w:tcPr>
            <w:tcW w:type="dxa" w:w="705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fully diluted at close, and % modeled at the next round — state the dilution assumption</w:t>
            </w:r>
          </w:p>
        </w:tc>
      </w:tr>
      <w:tr>
        <w:tc>
          <w:tcPr>
            <w:tcW w:type="dxa" w:w="3024"/>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Round context</w:t>
            </w:r>
          </w:p>
        </w:tc>
        <w:tc>
          <w:tcPr>
            <w:tcW w:type="dxa" w:w="705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Total round size, lead, committed to date, close date</w:t>
            </w:r>
          </w:p>
        </w:tc>
      </w:tr>
      <w:tr>
        <w:tc>
          <w:tcPr>
            <w:tcW w:type="dxa" w:w="3024"/>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Use of proceeds</w:t>
            </w:r>
          </w:p>
        </w:tc>
        <w:tc>
          <w:tcPr>
            <w:tcW w:type="dxa" w:w="705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The one value inflection this capital is meant to buy, and the runway to reach it</w:t>
            </w:r>
          </w:p>
        </w:tc>
      </w:tr>
      <w:tr>
        <w:tc>
          <w:tcPr>
            <w:tcW w:type="dxa" w:w="3024"/>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Crucible stage</w:t>
            </w:r>
          </w:p>
        </w:tc>
        <w:tc>
          <w:tcPr>
            <w:tcW w:type="dxa" w:w="705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Stage at which the company entered the pipeline, and gates passed to date</w:t>
            </w:r>
          </w:p>
        </w:tc>
      </w:tr>
      <w:tr>
        <w:tc>
          <w:tcPr>
            <w:tcW w:type="dxa" w:w="3024"/>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Author &amp; date</w:t>
            </w:r>
          </w:p>
        </w:tc>
        <w:tc>
          <w:tcPr>
            <w:tcW w:type="dxa" w:w="705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Name, role, date of this version</w:t>
            </w:r>
          </w:p>
        </w:tc>
      </w:tr>
    </w:tbl>
    <w:p>
      <w:pPr>
        <w:pStyle w:val="Heading2"/>
        <w:spacing w:after="120" w:before="300"/>
      </w:pPr>
      <w:r>
        <w:rPr>
          <w:rFonts w:ascii="Arial" w:cs="Arial" w:eastAsia="Arial" w:hAnsi="Arial"/>
          <w:b/>
          <w:bCs/>
          <w:caps/>
          <w:color w:val="A83E12"/>
          <w:spacing w:val="24"/>
          <w:sz w:val="17"/>
          <w:szCs w:val="17"/>
        </w:rPr>
        <w:t xml:space="preserve">The case in three sentences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DDE5" w:sz="1"/>
              <w:left w:val="single" w:color="D4521A" w:sz="14"/>
              <w:bottom w:val="single" w:color="D8DDE5" w:sz="1"/>
              <w:right w:val="single" w:color="D8DDE5" w:sz="1"/>
            </w:tcBorders>
            <w:shd w:fill="F6F7F9" w:val="clear"/>
            <w:tcMar>
              <w:top w:type="dxa" w:w="150"/>
              <w:left w:type="dxa" w:w="180"/>
              <w:bottom w:type="dxa" w:w="120"/>
              <w:right w:type="dxa" w:w="180"/>
            </w:tcMar>
          </w:tcPr>
          <w:p>
            <w:pPr>
              <w:spacing w:after="70" w:before="0" w:line="280"/>
            </w:pPr>
            <w:r>
              <w:rPr>
                <w:rFonts w:ascii="Arial" w:cs="Arial" w:eastAsia="Arial" w:hAnsi="Arial"/>
                <w:b/>
                <w:bCs/>
                <w:caps/>
                <w:color w:val="A83E12"/>
                <w:spacing w:val="22"/>
                <w:sz w:val="15"/>
                <w:szCs w:val="15"/>
              </w:rPr>
              <w:t xml:space="preserve"/>
            </w:r>
          </w:p>
          <w:p>
            <w:pPr>
              <w:spacing w:after="110" w:before="0" w:line="280"/>
            </w:pPr>
            <w:r>
              <w:rPr>
                <w:rFonts w:ascii="Arial" w:cs="Arial" w:eastAsia="Arial" w:hAnsi="Arial"/>
                <w:i/>
                <w:iCs/>
                <w:color w:val="6B7688"/>
                <w:sz w:val="17"/>
                <w:szCs w:val="17"/>
              </w:rPr>
              <w:t xml:space="preserve">One sentence on what the company does. One on why it can win. One on what would have to go wrong for this to be a loss. Do not exceed three sentences.</w:t>
            </w:r>
          </w:p>
          <w:p>
            <w:pPr>
              <w:pBdr>
                <w:bottom w:val="dotted" w:color="9AA3B2" w:sz="4" w:space="2"/>
              </w:pBdr>
              <w:spacing w:after="110"/>
            </w:pPr>
            <w:r>
              <w:rPr>
                <w:rFonts w:ascii="Arial" w:cs="Arial" w:eastAsia="Arial" w:hAnsi="Arial"/>
                <w:color w:val="14181F"/>
                <w:sz w:val="20"/>
                <w:szCs w:val="20"/>
              </w:rPr>
              <w:t xml:space="preserve"/>
            </w:r>
          </w:p>
          <w:p>
            <w:pPr>
              <w:pBdr>
                <w:bottom w:val="dotted" w:color="9AA3B2" w:sz="4" w:space="2"/>
              </w:pBdr>
              <w:spacing w:after="110"/>
            </w:pPr>
            <w:r>
              <w:rPr>
                <w:rFonts w:ascii="Arial" w:cs="Arial" w:eastAsia="Arial" w:hAnsi="Arial"/>
                <w:color w:val="14181F"/>
                <w:sz w:val="20"/>
                <w:szCs w:val="20"/>
              </w:rPr>
              <w:t xml:space="preserve"/>
            </w:r>
          </w:p>
          <w:p>
            <w:pPr>
              <w:pBdr>
                <w:bottom w:val="dotted" w:color="9AA3B2" w:sz="4" w:space="2"/>
              </w:pBdr>
              <w:spacing w:after="110"/>
            </w:pPr>
            <w:r>
              <w:rPr>
                <w:rFonts w:ascii="Arial" w:cs="Arial" w:eastAsia="Arial" w:hAnsi="Arial"/>
                <w:color w:val="14181F"/>
                <w:sz w:val="20"/>
                <w:szCs w:val="20"/>
              </w:rPr>
              <w:t xml:space="preserve"/>
            </w:r>
          </w:p>
        </w:tc>
      </w:tr>
    </w:tbl>
    <w:p>
      <w:pPr>
        <w:pStyle w:val="Heading2"/>
        <w:spacing w:after="120" w:before="300"/>
      </w:pPr>
      <w:r>
        <w:rPr>
          <w:rFonts w:ascii="Arial" w:cs="Arial" w:eastAsia="Arial" w:hAnsi="Arial"/>
          <w:b/>
          <w:bCs/>
          <w:caps/>
          <w:color w:val="A83E12"/>
          <w:spacing w:val="24"/>
          <w:sz w:val="17"/>
          <w:szCs w:val="17"/>
        </w:rPr>
        <w:t xml:space="preserve">Conditions to close</w:t>
      </w:r>
    </w:p>
    <w:p>
      <w:pPr>
        <w:spacing w:after="160" w:before="0" w:line="280"/>
      </w:pPr>
      <w:r>
        <w:rPr>
          <w:rFonts w:ascii="Arial" w:cs="Arial" w:eastAsia="Arial" w:hAnsi="Arial"/>
          <w:i/>
          <w:iCs/>
          <w:color w:val="6B7688"/>
          <w:sz w:val="17"/>
          <w:szCs w:val="17"/>
        </w:rPr>
        <w:t xml:space="preserve">If the recommendation is conditional, the conditions are enumerated here and nowhere else. Each is binary and dated.</w:t>
      </w:r>
    </w:p>
    <w:p>
      <w:pPr>
        <w:spacing w:after="90" w:before="0" w:line="280"/>
      </w:pPr>
      <w:r>
        <w:rPr>
          <w:rFonts w:ascii="Arial" w:cs="Arial" w:eastAsia="Arial" w:hAnsi="Arial"/>
          <w:color w:val="6B7688"/>
          <w:sz w:val="22"/>
          <w:szCs w:val="22"/>
        </w:rPr>
        <w:t xml:space="preserve">☐   </w:t>
      </w:r>
      <w:r>
        <w:rPr>
          <w:rFonts w:ascii="Arial" w:cs="Arial" w:eastAsia="Arial" w:hAnsi="Arial"/>
          <w:color w:val="14181F"/>
          <w:sz w:val="20"/>
          <w:szCs w:val="20"/>
        </w:rPr>
        <w:t xml:space="preserve">Condition 1 — </w:t>
      </w:r>
      <w:r>
        <w:rPr>
          <w:rFonts w:ascii="Arial" w:cs="Arial" w:eastAsia="Arial" w:hAnsi="Arial"/>
          <w:i/>
          <w:iCs/>
          <w:color w:val="6B7688"/>
          <w:sz w:val="20"/>
          <w:szCs w:val="20"/>
        </w:rPr>
        <w:t xml:space="preserve">what must be true, who confirms it, by when</w:t>
      </w:r>
    </w:p>
    <w:p>
      <w:pPr>
        <w:spacing w:after="90" w:before="0" w:line="280"/>
      </w:pPr>
      <w:r>
        <w:rPr>
          <w:rFonts w:ascii="Arial" w:cs="Arial" w:eastAsia="Arial" w:hAnsi="Arial"/>
          <w:color w:val="6B7688"/>
          <w:sz w:val="22"/>
          <w:szCs w:val="22"/>
        </w:rPr>
        <w:t xml:space="preserve">☐   </w:t>
      </w:r>
      <w:r>
        <w:rPr>
          <w:rFonts w:ascii="Arial" w:cs="Arial" w:eastAsia="Arial" w:hAnsi="Arial"/>
          <w:color w:val="14181F"/>
          <w:sz w:val="20"/>
          <w:szCs w:val="20"/>
        </w:rPr>
        <w:t xml:space="preserve">Condition 2</w:t>
      </w:r>
    </w:p>
    <w:p>
      <w:pPr>
        <w:spacing w:after="90" w:before="0" w:line="280"/>
      </w:pPr>
      <w:r>
        <w:rPr>
          <w:rFonts w:ascii="Arial" w:cs="Arial" w:eastAsia="Arial" w:hAnsi="Arial"/>
          <w:color w:val="6B7688"/>
          <w:sz w:val="22"/>
          <w:szCs w:val="22"/>
        </w:rPr>
        <w:t xml:space="preserve">☐   </w:t>
      </w:r>
      <w:r>
        <w:rPr>
          <w:rFonts w:ascii="Arial" w:cs="Arial" w:eastAsia="Arial" w:hAnsi="Arial"/>
          <w:color w:val="14181F"/>
          <w:sz w:val="20"/>
          <w:szCs w:val="20"/>
        </w:rPr>
        <w:t xml:space="preserve">Condition 3</w:t>
      </w:r>
    </w:p>
    <w:p>
      <w:pPr>
        <w:pStyle w:val="Heading1"/>
        <w:pageBreakBefore/>
        <w:pBdr>
          <w:bottom w:val="single" w:color="D4521A" w:sz="8" w:space="6"/>
        </w:pBdr>
        <w:spacing w:after="60" w:before="0"/>
      </w:pPr>
      <w:r>
        <w:rPr>
          <w:rFonts w:ascii="Arial" w:cs="Arial" w:eastAsia="Arial" w:hAnsi="Arial"/>
          <w:b/>
          <w:bCs/>
          <w:color w:val="14181F"/>
          <w:sz w:val="30"/>
          <w:szCs w:val="30"/>
        </w:rPr>
        <w:t xml:space="preserve">Section 02 · What has to be true</w:t>
      </w:r>
    </w:p>
    <w:p>
      <w:pPr>
        <w:spacing w:after="140"/>
      </w:pPr>
    </w:p>
    <w:p>
      <w:pPr>
        <w:spacing w:after="200" w:before="0" w:line="280"/>
      </w:pPr>
      <w:r>
        <w:rPr>
          <w:rFonts w:ascii="Arial" w:cs="Arial" w:eastAsia="Arial" w:hAnsi="Arial"/>
          <w:color w:val="3C4657"/>
          <w:sz w:val="22"/>
          <w:szCs w:val="22"/>
        </w:rPr>
        <w:t xml:space="preserve">The load-bearing section. Everything after this exists to test the propositions listed here.</w:t>
      </w:r>
    </w:p>
    <w:p>
      <w:pPr>
        <w:spacing w:after="140" w:before="0" w:line="280"/>
      </w:pPr>
      <w:r>
        <w:rPr>
          <w:rFonts w:ascii="Arial" w:cs="Arial" w:eastAsia="Arial" w:hAnsi="Arial"/>
          <w:color w:val="14181F"/>
          <w:sz w:val="20"/>
          <w:szCs w:val="20"/>
        </w:rPr>
        <w:t xml:space="preserve">State between four and seven propositions. Each must be falsifiable — written so that a specific observation in the next eighteen months would prove it wrong. “The market is large” is not a proposition. “At least three health systems will pay more than $150,000 per year for this within eighteen months” is.</w:t>
      </w:r>
    </w:p>
    <w:p>
      <w:pPr>
        <w:spacing w:after="1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05"/>
        <w:gridCol w:w="4032"/>
        <w:gridCol w:w="1210"/>
        <w:gridCol w:w="4234"/>
      </w:tblGrid>
      <w:tr>
        <w:trPr>
          <w:tblHeader/>
        </w:trPr>
        <w:tc>
          <w:tcPr>
            <w:tcW w:type="dxa" w:w="605"/>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w:t>
            </w:r>
          </w:p>
        </w:tc>
        <w:tc>
          <w:tcPr>
            <w:tcW w:type="dxa" w:w="4032"/>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Proposition</w:t>
            </w:r>
          </w:p>
        </w:tc>
        <w:tc>
          <w:tcPr>
            <w:tcW w:type="dxa" w:w="1210"/>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Grade</w:t>
            </w:r>
          </w:p>
        </w:tc>
        <w:tc>
          <w:tcPr>
            <w:tcW w:type="dxa" w:w="4234"/>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Evidence today · what would falsify it</w:t>
            </w:r>
          </w:p>
        </w:tc>
      </w:tr>
      <w:tr>
        <w:tc>
          <w:tcPr>
            <w:tcW w:type="dxa" w:w="605"/>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1</w:t>
            </w:r>
          </w:p>
        </w:tc>
        <w:tc>
          <w:tcPr>
            <w:tcW w:type="dxa" w:w="4032"/>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Technical: the thing works at the required specification</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A–D</w:t>
            </w:r>
          </w:p>
        </w:tc>
        <w:tc>
          <w:tcPr>
            <w:tcW w:type="dxa" w:w="423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Cite the source. Then name the observation that would kill it.</w:t>
            </w:r>
          </w:p>
        </w:tc>
      </w:tr>
      <w:tr>
        <w:tc>
          <w:tcPr>
            <w:tcW w:type="dxa" w:w="605"/>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2</w:t>
            </w:r>
          </w:p>
        </w:tc>
        <w:tc>
          <w:tcPr>
            <w:tcW w:type="dxa" w:w="4032"/>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Demand: an identified buyer has budget and urgency</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A–D</w:t>
            </w:r>
          </w:p>
        </w:tc>
        <w:tc>
          <w:tcPr>
            <w:tcW w:type="dxa" w:w="423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605"/>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3</w:t>
            </w:r>
          </w:p>
        </w:tc>
        <w:tc>
          <w:tcPr>
            <w:tcW w:type="dxa" w:w="4032"/>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Defensibility: the advantage persists after a competent incumbent responds</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A–D</w:t>
            </w:r>
          </w:p>
        </w:tc>
        <w:tc>
          <w:tcPr>
            <w:tcW w:type="dxa" w:w="423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605"/>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4</w:t>
            </w:r>
          </w:p>
        </w:tc>
        <w:tc>
          <w:tcPr>
            <w:tcW w:type="dxa" w:w="4032"/>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Team: this team can execute this specific plan</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A–D</w:t>
            </w:r>
          </w:p>
        </w:tc>
        <w:tc>
          <w:tcPr>
            <w:tcW w:type="dxa" w:w="423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605"/>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5</w:t>
            </w:r>
          </w:p>
        </w:tc>
        <w:tc>
          <w:tcPr>
            <w:tcW w:type="dxa" w:w="4032"/>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Capital: the round buys a real inflection, not just runway</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A–D</w:t>
            </w:r>
          </w:p>
        </w:tc>
        <w:tc>
          <w:tcPr>
            <w:tcW w:type="dxa" w:w="423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605"/>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6</w:t>
            </w:r>
          </w:p>
        </w:tc>
        <w:tc>
          <w:tcPr>
            <w:tcW w:type="dxa" w:w="4032"/>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Exit: an acquirer or public market exists at the relevant scale</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A–D</w:t>
            </w:r>
          </w:p>
        </w:tc>
        <w:tc>
          <w:tcPr>
            <w:tcW w:type="dxa" w:w="423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bl>
    <w:p>
      <w:pPr>
        <w:spacing w:after="1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4380D" w:sz="12"/>
              <w:left w:val="single" w:color="D8DDE5" w:sz="1"/>
              <w:bottom w:val="single" w:color="D8DDE5" w:sz="1"/>
              <w:right w:val="single" w:color="D8DDE5" w:sz="1"/>
            </w:tcBorders>
            <w:shd w:fill="F6F7F9" w:val="clear"/>
            <w:tcMar>
              <w:top w:type="dxa" w:w="160"/>
              <w:left w:type="dxa" w:w="180"/>
              <w:bottom w:type="dxa" w:w="160"/>
              <w:right w:type="dxa" w:w="180"/>
            </w:tcMar>
          </w:tcPr>
          <w:p>
            <w:pPr>
              <w:spacing w:after="90" w:before="0" w:line="280"/>
            </w:pPr>
            <w:r>
              <w:rPr>
                <w:rFonts w:ascii="Arial" w:cs="Arial" w:eastAsia="Arial" w:hAnsi="Arial"/>
                <w:b/>
                <w:bCs/>
                <w:caps/>
                <w:color w:val="D4380D"/>
                <w:spacing w:val="24"/>
                <w:sz w:val="15"/>
                <w:szCs w:val="15"/>
              </w:rPr>
              <w:t xml:space="preserve">Discipline note</w:t>
            </w:r>
          </w:p>
          <w:p>
            <w:pPr>
              <w:spacing w:after="60" w:before="0" w:line="280"/>
            </w:pPr>
            <w:r>
              <w:rPr>
                <w:rFonts w:ascii="Arial" w:cs="Arial" w:eastAsia="Arial" w:hAnsi="Arial"/>
                <w:color w:val="3C4657"/>
                <w:sz w:val="19"/>
                <w:szCs w:val="19"/>
              </w:rPr>
              <w:t xml:space="preserve">If every proposition grades A or B, the deal is either exceptional or the grading is wrong. Early-stage underwriting normally produces a mix with at least two C or D propositions. Those two are what the investment actually is.</w:t>
            </w:r>
          </w:p>
        </w:tc>
      </w:tr>
    </w:tbl>
    <w:p>
      <w:pPr>
        <w:pStyle w:val="Heading1"/>
        <w:pageBreakBefore/>
        <w:pBdr>
          <w:bottom w:val="single" w:color="D4521A" w:sz="8" w:space="6"/>
        </w:pBdr>
        <w:spacing w:after="60" w:before="0"/>
      </w:pPr>
      <w:r>
        <w:rPr>
          <w:rFonts w:ascii="Arial" w:cs="Arial" w:eastAsia="Arial" w:hAnsi="Arial"/>
          <w:b/>
          <w:bCs/>
          <w:color w:val="14181F"/>
          <w:sz w:val="30"/>
          <w:szCs w:val="30"/>
        </w:rPr>
        <w:t xml:space="preserve">Section 03 · Technology and defensibility</w:t>
      </w:r>
    </w:p>
    <w:p>
      <w:pPr>
        <w:spacing w:after="140"/>
      </w:pPr>
    </w:p>
    <w:p>
      <w:pPr>
        <w:pStyle w:val="Heading3"/>
        <w:spacing w:after="90" w:before="200"/>
      </w:pPr>
      <w:r>
        <w:rPr>
          <w:rFonts w:ascii="Arial" w:cs="Arial" w:eastAsia="Arial" w:hAnsi="Arial"/>
          <w:b/>
          <w:bCs/>
          <w:color w:val="14181F"/>
          <w:sz w:val="20"/>
          <w:szCs w:val="20"/>
        </w:rPr>
        <w:t xml:space="preserve">3.1 · What it is</w:t>
      </w:r>
    </w:p>
    <w:p>
      <w:pPr>
        <w:spacing w:after="160" w:before="0" w:line="280"/>
      </w:pPr>
      <w:r>
        <w:rPr>
          <w:rFonts w:ascii="Arial" w:cs="Arial" w:eastAsia="Arial" w:hAnsi="Arial"/>
          <w:i/>
          <w:iCs/>
          <w:color w:val="6B7688"/>
          <w:sz w:val="17"/>
          <w:szCs w:val="17"/>
        </w:rPr>
        <w:t xml:space="preserve">Plain description, no jargon, comprehensible to a generalist. If it cannot be written in a paragraph, the author does not yet understand it.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DDE5" w:sz="1"/>
              <w:left w:val="single" w:color="D4521A" w:sz="14"/>
              <w:bottom w:val="single" w:color="D8DDE5" w:sz="1"/>
              <w:right w:val="single" w:color="D8DDE5" w:sz="1"/>
            </w:tcBorders>
            <w:shd w:fill="F6F7F9" w:val="clear"/>
            <w:tcMar>
              <w:top w:type="dxa" w:w="150"/>
              <w:left w:type="dxa" w:w="180"/>
              <w:bottom w:type="dxa" w:w="120"/>
              <w:right w:type="dxa" w:w="180"/>
            </w:tcMar>
          </w:tcPr>
          <w:p>
            <w:pPr>
              <w:spacing w:after="70" w:before="0" w:line="280"/>
            </w:pPr>
            <w:r>
              <w:rPr>
                <w:rFonts w:ascii="Arial" w:cs="Arial" w:eastAsia="Arial" w:hAnsi="Arial"/>
                <w:b/>
                <w:bCs/>
                <w:caps/>
                <w:color w:val="A83E12"/>
                <w:spacing w:val="22"/>
                <w:sz w:val="15"/>
                <w:szCs w:val="15"/>
              </w:rPr>
              <w:t xml:space="preserve"/>
            </w:r>
          </w:p>
          <w:p>
            <w:pPr>
              <w:pBdr>
                <w:bottom w:val="dotted" w:color="9AA3B2" w:sz="4" w:space="2"/>
              </w:pBdr>
              <w:spacing w:after="110"/>
            </w:pPr>
            <w:r>
              <w:rPr>
                <w:rFonts w:ascii="Arial" w:cs="Arial" w:eastAsia="Arial" w:hAnsi="Arial"/>
                <w:color w:val="14181F"/>
                <w:sz w:val="20"/>
                <w:szCs w:val="20"/>
              </w:rPr>
              <w:t xml:space="preserve"/>
            </w:r>
          </w:p>
          <w:p>
            <w:pPr>
              <w:pBdr>
                <w:bottom w:val="dotted" w:color="9AA3B2" w:sz="4" w:space="2"/>
              </w:pBdr>
              <w:spacing w:after="110"/>
            </w:pPr>
            <w:r>
              <w:rPr>
                <w:rFonts w:ascii="Arial" w:cs="Arial" w:eastAsia="Arial" w:hAnsi="Arial"/>
                <w:color w:val="14181F"/>
                <w:sz w:val="20"/>
                <w:szCs w:val="20"/>
              </w:rPr>
              <w:t xml:space="preserve"/>
            </w:r>
          </w:p>
          <w:p>
            <w:pPr>
              <w:pBdr>
                <w:bottom w:val="dotted" w:color="9AA3B2" w:sz="4" w:space="2"/>
              </w:pBdr>
              <w:spacing w:after="110"/>
            </w:pPr>
            <w:r>
              <w:rPr>
                <w:rFonts w:ascii="Arial" w:cs="Arial" w:eastAsia="Arial" w:hAnsi="Arial"/>
                <w:color w:val="14181F"/>
                <w:sz w:val="20"/>
                <w:szCs w:val="20"/>
              </w:rPr>
              <w:t xml:space="preserve"/>
            </w:r>
          </w:p>
        </w:tc>
      </w:tr>
    </w:tbl>
    <w:p>
      <w:pPr>
        <w:pStyle w:val="Heading3"/>
        <w:spacing w:after="90" w:before="200"/>
      </w:pPr>
      <w:r>
        <w:rPr>
          <w:rFonts w:ascii="Arial" w:cs="Arial" w:eastAsia="Arial" w:hAnsi="Arial"/>
          <w:b/>
          <w:bCs/>
          <w:color w:val="14181F"/>
          <w:sz w:val="20"/>
          <w:szCs w:val="20"/>
        </w:rPr>
        <w:t xml:space="preserve">3.2 · Technical readiness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024"/>
        <w:gridCol w:w="7056"/>
      </w:tblGrid>
      <w:tr>
        <w:tc>
          <w:tcPr>
            <w:tcW w:type="dxa" w:w="3024"/>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Current state</w:t>
            </w:r>
          </w:p>
        </w:tc>
        <w:tc>
          <w:tcPr>
            <w:tcW w:type="dxa" w:w="705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Bench · prototype · pilot · production. Name the last independent validation and its date.</w:t>
            </w:r>
          </w:p>
        </w:tc>
      </w:tr>
      <w:tr>
        <w:tc>
          <w:tcPr>
            <w:tcW w:type="dxa" w:w="3024"/>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Key specification</w:t>
            </w:r>
          </w:p>
        </w:tc>
        <w:tc>
          <w:tcPr>
            <w:tcW w:type="dxa" w:w="705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The one number the technology lives or dies by, its current value, and the threshold required.</w:t>
            </w:r>
          </w:p>
        </w:tc>
      </w:tr>
      <w:tr>
        <w:tc>
          <w:tcPr>
            <w:tcW w:type="dxa" w:w="3024"/>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Remaining technical risk</w:t>
            </w:r>
          </w:p>
        </w:tc>
        <w:tc>
          <w:tcPr>
            <w:tcW w:type="dxa" w:w="705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The single hardest unsolved problem, and who on the team is qualified to solve it.</w:t>
            </w:r>
          </w:p>
        </w:tc>
      </w:tr>
      <w:tr>
        <w:tc>
          <w:tcPr>
            <w:tcW w:type="dxa" w:w="3024"/>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Scale-up path</w:t>
            </w:r>
          </w:p>
        </w:tc>
        <w:tc>
          <w:tcPr>
            <w:tcW w:type="dxa" w:w="705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What changes between the current demonstration and commercial volume. Who does the work.</w:t>
            </w:r>
          </w:p>
        </w:tc>
      </w:tr>
    </w:tbl>
    <w:p>
      <w:pPr>
        <w:pStyle w:val="Heading3"/>
        <w:spacing w:after="90" w:before="200"/>
      </w:pPr>
      <w:r>
        <w:rPr>
          <w:rFonts w:ascii="Arial" w:cs="Arial" w:eastAsia="Arial" w:hAnsi="Arial"/>
          <w:b/>
          <w:bCs/>
          <w:color w:val="14181F"/>
          <w:sz w:val="20"/>
          <w:szCs w:val="20"/>
        </w:rPr>
        <w:t xml:space="preserve">3.3 · Intellectual property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024"/>
        <w:gridCol w:w="1613"/>
        <w:gridCol w:w="1814"/>
        <w:gridCol w:w="3629"/>
      </w:tblGrid>
      <w:tr>
        <w:trPr>
          <w:tblHeader/>
        </w:trPr>
        <w:tc>
          <w:tcPr>
            <w:tcW w:type="dxa" w:w="3024"/>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Asset</w:t>
            </w:r>
          </w:p>
        </w:tc>
        <w:tc>
          <w:tcPr>
            <w:tcW w:type="dxa" w:w="1613"/>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Status</w:t>
            </w:r>
          </w:p>
        </w:tc>
        <w:tc>
          <w:tcPr>
            <w:tcW w:type="dxa" w:w="1814"/>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Jurisdictions</w:t>
            </w:r>
          </w:p>
        </w:tc>
        <w:tc>
          <w:tcPr>
            <w:tcW w:type="dxa" w:w="3629"/>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Ownership chain · notes</w:t>
            </w:r>
          </w:p>
        </w:tc>
      </w:tr>
      <w:tr>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Patent family / application</w:t>
            </w:r>
          </w:p>
        </w:tc>
        <w:tc>
          <w:tcPr>
            <w:tcW w:type="dxa" w:w="1613"/>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Filed · pending · granted</w:t>
            </w:r>
          </w:p>
        </w:tc>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US, PCT, …</w:t>
            </w:r>
          </w:p>
        </w:tc>
        <w:tc>
          <w:tcPr>
            <w:tcW w:type="dxa" w:w="362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Assigned to company? University license? Field of use?</w:t>
            </w:r>
          </w:p>
        </w:tc>
      </w:tr>
      <w:tr>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613"/>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62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bl>
    <w:p>
      <w:pPr>
        <w:pStyle w:val="ListParagraph"/>
        <w:numPr>
          <w:ilvl w:val="0"/>
          <w:numId w:val="2"/>
        </w:numPr>
        <w:spacing w:after="80" w:line="280"/>
      </w:pPr>
      <w:r>
        <w:rPr>
          <w:rFonts w:ascii="Arial" w:cs="Arial" w:eastAsia="Arial" w:hAnsi="Arial"/>
          <w:b/>
          <w:bCs/>
          <w:color w:val="14181F"/>
          <w:sz w:val="20"/>
          <w:szCs w:val="20"/>
        </w:rPr>
        <w:t xml:space="preserve">License terms</w:t>
      </w:r>
      <w:r>
        <w:rPr>
          <w:rFonts w:ascii="Arial" w:cs="Arial" w:eastAsia="Arial" w:hAnsi="Arial"/>
          <w:color w:val="14181F"/>
          <w:sz w:val="20"/>
          <w:szCs w:val="20"/>
        </w:rPr>
        <w:t xml:space="preserve">, where the IP came from an institution: option or executed license, cost, exclusivity, field of use, and the diligence milestones written into the license. Milestones inside a license are obligations, not aspirations.</w:t>
      </w:r>
    </w:p>
    <w:p>
      <w:pPr>
        <w:pStyle w:val="ListParagraph"/>
        <w:numPr>
          <w:ilvl w:val="0"/>
          <w:numId w:val="2"/>
        </w:numPr>
        <w:spacing w:after="80" w:line="280"/>
      </w:pPr>
      <w:r>
        <w:rPr>
          <w:rFonts w:ascii="Arial" w:cs="Arial" w:eastAsia="Arial" w:hAnsi="Arial"/>
          <w:b/>
          <w:bCs/>
          <w:color w:val="14181F"/>
          <w:sz w:val="20"/>
          <w:szCs w:val="20"/>
        </w:rPr>
        <w:t xml:space="preserve">Freedom to operate:</w:t>
      </w:r>
      <w:r>
        <w:rPr>
          <w:rFonts w:ascii="Arial" w:cs="Arial" w:eastAsia="Arial" w:hAnsi="Arial"/>
          <w:color w:val="14181F"/>
          <w:sz w:val="20"/>
          <w:szCs w:val="20"/>
        </w:rPr>
        <w:t xml:space="preserve"> who looked, when, and what they found. “No known issues” without a search is a C-grade claim at best.</w:t>
      </w:r>
    </w:p>
    <w:p>
      <w:pPr>
        <w:pStyle w:val="ListParagraph"/>
        <w:numPr>
          <w:ilvl w:val="0"/>
          <w:numId w:val="2"/>
        </w:numPr>
        <w:spacing w:after="80" w:line="280"/>
      </w:pPr>
      <w:r>
        <w:rPr>
          <w:rFonts w:ascii="Arial" w:cs="Arial" w:eastAsia="Arial" w:hAnsi="Arial"/>
          <w:b/>
          <w:bCs/>
          <w:color w:val="14181F"/>
          <w:sz w:val="20"/>
          <w:szCs w:val="20"/>
        </w:rPr>
        <w:t xml:space="preserve">Trade secret and know-how</w:t>
      </w:r>
      <w:r>
        <w:rPr>
          <w:rFonts w:ascii="Arial" w:cs="Arial" w:eastAsia="Arial" w:hAnsi="Arial"/>
          <w:color w:val="14181F"/>
          <w:sz w:val="20"/>
          <w:szCs w:val="20"/>
        </w:rPr>
        <w:t xml:space="preserve"> held by named individuals, and whether it is documented anywhere the company would still have it if they left.</w:t>
      </w:r>
    </w:p>
    <w:p>
      <w:pPr>
        <w:pStyle w:val="Heading3"/>
        <w:spacing w:after="90" w:before="200"/>
      </w:pPr>
      <w:r>
        <w:rPr>
          <w:rFonts w:ascii="Arial" w:cs="Arial" w:eastAsia="Arial" w:hAnsi="Arial"/>
          <w:b/>
          <w:bCs/>
          <w:color w:val="14181F"/>
          <w:sz w:val="20"/>
          <w:szCs w:val="20"/>
        </w:rPr>
        <w:t xml:space="preserve">3.4 · The defensibility question</w:t>
      </w:r>
    </w:p>
    <w:p>
      <w:pPr>
        <w:spacing w:after="160" w:before="0" w:line="280"/>
      </w:pPr>
      <w:r>
        <w:rPr>
          <w:rFonts w:ascii="Arial" w:cs="Arial" w:eastAsia="Arial" w:hAnsi="Arial"/>
          <w:i/>
          <w:iCs/>
          <w:color w:val="6B7688"/>
          <w:sz w:val="17"/>
          <w:szCs w:val="17"/>
        </w:rPr>
        <w:t xml:space="preserve">Assume a well-capitalized incumbent decides to compete eighteen months from now. What stops them, and for how long?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DDE5" w:sz="1"/>
              <w:left w:val="single" w:color="D4521A" w:sz="14"/>
              <w:bottom w:val="single" w:color="D8DDE5" w:sz="1"/>
              <w:right w:val="single" w:color="D8DDE5" w:sz="1"/>
            </w:tcBorders>
            <w:shd w:fill="F6F7F9" w:val="clear"/>
            <w:tcMar>
              <w:top w:type="dxa" w:w="150"/>
              <w:left w:type="dxa" w:w="180"/>
              <w:bottom w:type="dxa" w:w="120"/>
              <w:right w:type="dxa" w:w="180"/>
            </w:tcMar>
          </w:tcPr>
          <w:p>
            <w:pPr>
              <w:spacing w:after="70" w:before="0" w:line="280"/>
            </w:pPr>
            <w:r>
              <w:rPr>
                <w:rFonts w:ascii="Arial" w:cs="Arial" w:eastAsia="Arial" w:hAnsi="Arial"/>
                <w:b/>
                <w:bCs/>
                <w:caps/>
                <w:color w:val="A83E12"/>
                <w:spacing w:val="22"/>
                <w:sz w:val="15"/>
                <w:szCs w:val="15"/>
              </w:rPr>
              <w:t xml:space="preserve"/>
            </w:r>
          </w:p>
          <w:p>
            <w:pPr>
              <w:pBdr>
                <w:bottom w:val="dotted" w:color="9AA3B2" w:sz="4" w:space="2"/>
              </w:pBdr>
              <w:spacing w:after="110"/>
            </w:pPr>
            <w:r>
              <w:rPr>
                <w:rFonts w:ascii="Arial" w:cs="Arial" w:eastAsia="Arial" w:hAnsi="Arial"/>
                <w:color w:val="14181F"/>
                <w:sz w:val="20"/>
                <w:szCs w:val="20"/>
              </w:rPr>
              <w:t xml:space="preserve"/>
            </w:r>
          </w:p>
          <w:p>
            <w:pPr>
              <w:pBdr>
                <w:bottom w:val="dotted" w:color="9AA3B2" w:sz="4" w:space="2"/>
              </w:pBdr>
              <w:spacing w:after="110"/>
            </w:pPr>
            <w:r>
              <w:rPr>
                <w:rFonts w:ascii="Arial" w:cs="Arial" w:eastAsia="Arial" w:hAnsi="Arial"/>
                <w:color w:val="14181F"/>
                <w:sz w:val="20"/>
                <w:szCs w:val="20"/>
              </w:rPr>
              <w:t xml:space="preserve"/>
            </w:r>
          </w:p>
        </w:tc>
      </w:tr>
    </w:tbl>
    <w:p>
      <w:pPr>
        <w:pStyle w:val="Heading1"/>
        <w:pageBreakBefore/>
        <w:pBdr>
          <w:bottom w:val="single" w:color="D4521A" w:sz="8" w:space="6"/>
        </w:pBdr>
        <w:spacing w:after="60" w:before="0"/>
      </w:pPr>
      <w:r>
        <w:rPr>
          <w:rFonts w:ascii="Arial" w:cs="Arial" w:eastAsia="Arial" w:hAnsi="Arial"/>
          <w:b/>
          <w:bCs/>
          <w:color w:val="14181F"/>
          <w:sz w:val="30"/>
          <w:szCs w:val="30"/>
        </w:rPr>
        <w:t xml:space="preserve">Section 04 · Market and wedge</w:t>
      </w:r>
    </w:p>
    <w:p>
      <w:pPr>
        <w:spacing w:after="140"/>
      </w:pPr>
    </w:p>
    <w:p>
      <w:pPr>
        <w:pStyle w:val="Heading3"/>
        <w:spacing w:after="90" w:before="200"/>
      </w:pPr>
      <w:r>
        <w:rPr>
          <w:rFonts w:ascii="Arial" w:cs="Arial" w:eastAsia="Arial" w:hAnsi="Arial"/>
          <w:b/>
          <w:bCs/>
          <w:color w:val="14181F"/>
          <w:sz w:val="20"/>
          <w:szCs w:val="20"/>
        </w:rPr>
        <w:t xml:space="preserve">4.1 · The wedge</w:t>
      </w:r>
    </w:p>
    <w:p>
      <w:pPr>
        <w:spacing w:after="160" w:before="0" w:line="280"/>
      </w:pPr>
      <w:r>
        <w:rPr>
          <w:rFonts w:ascii="Arial" w:cs="Arial" w:eastAsia="Arial" w:hAnsi="Arial"/>
          <w:i/>
          <w:iCs/>
          <w:color w:val="6B7688"/>
          <w:sz w:val="17"/>
          <w:szCs w:val="17"/>
        </w:rPr>
        <w:t xml:space="preserve">Not the market. The first specific buyer, for the first specific use case, at the first specific price.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218"/>
        <w:gridCol w:w="7862"/>
      </w:tblGrid>
      <w:tr>
        <w:tc>
          <w:tcPr>
            <w:tcW w:type="dxa" w:w="2218"/>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Buyer</w:t>
            </w:r>
          </w:p>
        </w:tc>
        <w:tc>
          <w:tcPr>
            <w:tcW w:type="dxa" w:w="7862"/>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Title, organization type, budget authority, how they are reached.</w:t>
            </w:r>
          </w:p>
        </w:tc>
      </w:tr>
      <w:tr>
        <w:tc>
          <w:tcPr>
            <w:tcW w:type="dxa" w:w="2218"/>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Use case</w:t>
            </w:r>
          </w:p>
        </w:tc>
        <w:tc>
          <w:tcPr>
            <w:tcW w:type="dxa" w:w="7862"/>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The job being done, and what they do today instead.</w:t>
            </w:r>
          </w:p>
        </w:tc>
      </w:tr>
      <w:tr>
        <w:tc>
          <w:tcPr>
            <w:tcW w:type="dxa" w:w="2218"/>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Value</w:t>
            </w:r>
          </w:p>
        </w:tc>
        <w:tc>
          <w:tcPr>
            <w:tcW w:type="dxa" w:w="7862"/>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Quantified, in the buyer's units — hours, dollars, risk, throughput.</w:t>
            </w:r>
          </w:p>
        </w:tc>
      </w:tr>
      <w:tr>
        <w:tc>
          <w:tcPr>
            <w:tcW w:type="dxa" w:w="2218"/>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Price and basis</w:t>
            </w:r>
          </w:p>
        </w:tc>
        <w:tc>
          <w:tcPr>
            <w:tcW w:type="dxa" w:w="7862"/>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Price point, pricing metric, and evidence anyone has paid it.</w:t>
            </w:r>
          </w:p>
        </w:tc>
      </w:tr>
    </w:tbl>
    <w:p>
      <w:pPr>
        <w:pStyle w:val="Heading3"/>
        <w:spacing w:after="90" w:before="200"/>
      </w:pPr>
      <w:r>
        <w:rPr>
          <w:rFonts w:ascii="Arial" w:cs="Arial" w:eastAsia="Arial" w:hAnsi="Arial"/>
          <w:b/>
          <w:bCs/>
          <w:color w:val="14181F"/>
          <w:sz w:val="20"/>
          <w:szCs w:val="20"/>
        </w:rPr>
        <w:t xml:space="preserve">4.2 · Market sizing</w:t>
      </w:r>
    </w:p>
    <w:p>
      <w:pPr>
        <w:spacing w:after="160" w:before="0" w:line="280"/>
      </w:pPr>
      <w:r>
        <w:rPr>
          <w:rFonts w:ascii="Arial" w:cs="Arial" w:eastAsia="Arial" w:hAnsi="Arial"/>
          <w:i/>
          <w:iCs/>
          <w:color w:val="6B7688"/>
          <w:sz w:val="17"/>
          <w:szCs w:val="17"/>
        </w:rPr>
        <w:t xml:space="preserve">Build up from the wedge, not down from an analyst report. Show the arithmetic.</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218"/>
        <w:gridCol w:w="1814"/>
        <w:gridCol w:w="6048"/>
      </w:tblGrid>
      <w:tr>
        <w:trPr>
          <w:tblHeader/>
        </w:trPr>
        <w:tc>
          <w:tcPr>
            <w:tcW w:type="dxa" w:w="2218"/>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Layer</w:t>
            </w:r>
          </w:p>
        </w:tc>
        <w:tc>
          <w:tcPr>
            <w:tcW w:type="dxa" w:w="1814"/>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Figure</w:t>
            </w:r>
          </w:p>
        </w:tc>
        <w:tc>
          <w:tcPr>
            <w:tcW w:type="dxa" w:w="6048"/>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Derivation and source</w:t>
            </w:r>
          </w:p>
        </w:tc>
      </w:tr>
      <w:tr>
        <w:tc>
          <w:tcPr>
            <w:tcW w:type="dxa" w:w="2218"/>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Wedge (SOM)</w:t>
            </w:r>
          </w:p>
        </w:tc>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604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Reachable buyers × realistic penetration × price. Name the buyer count and where it came from.</w:t>
            </w:r>
          </w:p>
        </w:tc>
      </w:tr>
      <w:tr>
        <w:tc>
          <w:tcPr>
            <w:tcW w:type="dxa" w:w="2218"/>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Adjacent (SAM)</w:t>
            </w:r>
          </w:p>
        </w:tc>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604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What the same product sells into with modest change.</w:t>
            </w:r>
          </w:p>
        </w:tc>
      </w:tr>
      <w:tr>
        <w:tc>
          <w:tcPr>
            <w:tcW w:type="dxa" w:w="2218"/>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Full (TAM)</w:t>
            </w:r>
          </w:p>
        </w:tc>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604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Stated once, for scale. Never used to justify the investment.</w:t>
            </w:r>
          </w:p>
        </w:tc>
      </w:tr>
    </w:tbl>
    <w:p>
      <w:pPr>
        <w:pStyle w:val="Heading3"/>
        <w:spacing w:after="90" w:before="200"/>
      </w:pPr>
      <w:r>
        <w:rPr>
          <w:rFonts w:ascii="Arial" w:cs="Arial" w:eastAsia="Arial" w:hAnsi="Arial"/>
          <w:b/>
          <w:bCs/>
          <w:color w:val="14181F"/>
          <w:sz w:val="20"/>
          <w:szCs w:val="20"/>
        </w:rPr>
        <w:t xml:space="preserve">4.3 · Competitive map</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613"/>
        <w:gridCol w:w="2621"/>
        <w:gridCol w:w="3427"/>
      </w:tblGrid>
      <w:tr>
        <w:trPr>
          <w:tblHeader/>
        </w:trPr>
        <w:tc>
          <w:tcPr>
            <w:tcW w:type="dxa" w:w="2419"/>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Competitor</w:t>
            </w:r>
          </w:p>
        </w:tc>
        <w:tc>
          <w:tcPr>
            <w:tcW w:type="dxa" w:w="1613"/>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Category</w:t>
            </w:r>
          </w:p>
        </w:tc>
        <w:tc>
          <w:tcPr>
            <w:tcW w:type="dxa" w:w="2621"/>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Where they win</w:t>
            </w:r>
          </w:p>
        </w:tc>
        <w:tc>
          <w:tcPr>
            <w:tcW w:type="dxa" w:w="3427"/>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Where this company wins · and why that holds</w:t>
            </w:r>
          </w:p>
        </w:tc>
      </w:tr>
      <w:tr>
        <w:tc>
          <w:tcPr>
            <w:tcW w:type="dxa" w:w="241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Named incumbent</w:t>
            </w:r>
          </w:p>
        </w:tc>
        <w:tc>
          <w:tcPr>
            <w:tcW w:type="dxa" w:w="1613"/>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Incumbent</w:t>
            </w:r>
          </w:p>
        </w:tc>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427"/>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241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Named startup</w:t>
            </w:r>
          </w:p>
        </w:tc>
        <w:tc>
          <w:tcPr>
            <w:tcW w:type="dxa" w:w="1613"/>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Direct</w:t>
            </w:r>
          </w:p>
        </w:tc>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427"/>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241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Status quo / internal build</w:t>
            </w:r>
          </w:p>
        </w:tc>
        <w:tc>
          <w:tcPr>
            <w:tcW w:type="dxa" w:w="1613"/>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Substitute</w:t>
            </w:r>
          </w:p>
        </w:tc>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Free, already installed, nobody gets fired</w:t>
            </w:r>
          </w:p>
        </w:tc>
        <w:tc>
          <w:tcPr>
            <w:tcW w:type="dxa" w:w="3427"/>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Usually the real competitor. Treat it seriously.</w:t>
            </w:r>
          </w:p>
        </w:tc>
      </w:tr>
    </w:tbl>
    <w:p>
      <w:pPr>
        <w:pStyle w:val="Heading1"/>
        <w:pageBreakBefore/>
        <w:pBdr>
          <w:bottom w:val="single" w:color="D4521A" w:sz="8" w:space="6"/>
        </w:pBdr>
        <w:spacing w:after="60" w:before="0"/>
      </w:pPr>
      <w:r>
        <w:rPr>
          <w:rFonts w:ascii="Arial" w:cs="Arial" w:eastAsia="Arial" w:hAnsi="Arial"/>
          <w:b/>
          <w:bCs/>
          <w:color w:val="14181F"/>
          <w:sz w:val="30"/>
          <w:szCs w:val="30"/>
        </w:rPr>
        <w:t xml:space="preserve">Section 05 · Commercial evidence</w:t>
      </w:r>
    </w:p>
    <w:p>
      <w:pPr>
        <w:spacing w:after="140"/>
      </w:pPr>
    </w:p>
    <w:p>
      <w:pPr>
        <w:spacing w:after="160" w:before="0" w:line="280"/>
      </w:pPr>
      <w:r>
        <w:rPr>
          <w:rFonts w:ascii="Arial" w:cs="Arial" w:eastAsia="Arial" w:hAnsi="Arial"/>
          <w:i/>
          <w:iCs/>
          <w:color w:val="6B7688"/>
          <w:sz w:val="17"/>
          <w:szCs w:val="17"/>
        </w:rPr>
        <w:t xml:space="preserve">Everything a buyer has actually done, separated from everything a buyer has said.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210"/>
        <w:gridCol w:w="1210"/>
        <w:gridCol w:w="5242"/>
      </w:tblGrid>
      <w:tr>
        <w:trPr>
          <w:tblHeader/>
        </w:trPr>
        <w:tc>
          <w:tcPr>
            <w:tcW w:type="dxa" w:w="2419"/>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Signal</w:t>
            </w:r>
          </w:p>
        </w:tc>
        <w:tc>
          <w:tcPr>
            <w:tcW w:type="dxa" w:w="1210"/>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Count</w:t>
            </w:r>
          </w:p>
        </w:tc>
        <w:tc>
          <w:tcPr>
            <w:tcW w:type="dxa" w:w="1210"/>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Grade</w:t>
            </w:r>
          </w:p>
        </w:tc>
        <w:tc>
          <w:tcPr>
            <w:tcW w:type="dxa" w:w="5242"/>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Detail</w:t>
            </w:r>
          </w:p>
        </w:tc>
      </w:tr>
      <w:tr>
        <w:tc>
          <w:tcPr>
            <w:tcW w:type="dxa" w:w="2419"/>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Paying customers</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A</w:t>
            </w:r>
          </w:p>
        </w:tc>
        <w:tc>
          <w:tcPr>
            <w:tcW w:type="dxa" w:w="5242"/>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Names (or coded), contract value, term, start date, renewal status</w:t>
            </w:r>
          </w:p>
        </w:tc>
      </w:tr>
      <w:tr>
        <w:tc>
          <w:tcPr>
            <w:tcW w:type="dxa" w:w="2419"/>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Paid pilots</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A/B</w:t>
            </w:r>
          </w:p>
        </w:tc>
        <w:tc>
          <w:tcPr>
            <w:tcW w:type="dxa" w:w="5242"/>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Value, scope, conversion criteria agreed in writing</w:t>
            </w:r>
          </w:p>
        </w:tc>
      </w:tr>
      <w:tr>
        <w:tc>
          <w:tcPr>
            <w:tcW w:type="dxa" w:w="2419"/>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Unpaid design partners</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B/C</w:t>
            </w:r>
          </w:p>
        </w:tc>
        <w:tc>
          <w:tcPr>
            <w:tcW w:type="dxa" w:w="5242"/>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What they contribute, what they have committed to on conversion</w:t>
            </w:r>
          </w:p>
        </w:tc>
      </w:tr>
      <w:tr>
        <w:tc>
          <w:tcPr>
            <w:tcW w:type="dxa" w:w="2419"/>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LOIs / MOUs</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C</w:t>
            </w:r>
          </w:p>
        </w:tc>
        <w:tc>
          <w:tcPr>
            <w:tcW w:type="dxa" w:w="5242"/>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Non-binding by construction. State the conditions inside them.</w:t>
            </w:r>
          </w:p>
        </w:tc>
      </w:tr>
      <w:tr>
        <w:tc>
          <w:tcPr>
            <w:tcW w:type="dxa" w:w="2419"/>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Discovery conversations</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C</w:t>
            </w:r>
          </w:p>
        </w:tc>
        <w:tc>
          <w:tcPr>
            <w:tcW w:type="dxa" w:w="5242"/>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See the Customer Discovery Synthesis for the read</w:t>
            </w:r>
          </w:p>
        </w:tc>
      </w:tr>
    </w:tbl>
    <w:p>
      <w:pPr>
        <w:spacing w:after="1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sz="0"/>
              <w:left w:val="single" w:color="C8943A" w:sz="14"/>
              <w:bottom w:val="none" w:sz="0"/>
              <w:right w:val="none" w:sz="0"/>
            </w:tcBorders>
            <w:shd w:fill="FDF7F2" w:val="clear"/>
            <w:tcMar>
              <w:top w:type="dxa" w:w="150"/>
              <w:left w:type="dxa" w:w="180"/>
              <w:bottom w:type="dxa" w:w="150"/>
              <w:right w:type="dxa" w:w="180"/>
            </w:tcMar>
          </w:tcPr>
          <w:p>
            <w:pPr>
              <w:spacing w:after="90" w:before="0" w:line="280"/>
            </w:pPr>
            <w:r>
              <w:rPr>
                <w:rFonts w:ascii="Arial" w:cs="Arial" w:eastAsia="Arial" w:hAnsi="Arial"/>
                <w:b/>
                <w:bCs/>
                <w:caps/>
                <w:color w:val="96702B"/>
                <w:spacing w:val="22"/>
                <w:sz w:val="14"/>
                <w:szCs w:val="14"/>
              </w:rPr>
              <w:t xml:space="preserve">Illustrative composite — not a real engagement</w:t>
            </w:r>
          </w:p>
          <w:p>
            <w:pPr>
              <w:spacing w:after="60" w:before="0" w:line="280"/>
            </w:pPr>
            <w:r>
              <w:rPr>
                <w:rFonts w:ascii="Arial" w:cs="Arial" w:eastAsia="Arial" w:hAnsi="Arial"/>
                <w:color w:val="3C4657"/>
                <w:sz w:val="18"/>
                <w:szCs w:val="18"/>
              </w:rPr>
              <w:t xml:space="preserve">Two paid pilots at [REDACTED] and [REDACTED], $45,000 and $60,000, both twelve weeks with written conversion criteria; four unpaid design partners; nine LOIs whose common condition is a regulatory clearance the company does not yet hold.</w:t>
            </w:r>
          </w:p>
          <w:p>
            <w:pPr>
              <w:spacing w:after="60" w:before="0" w:line="280"/>
            </w:pPr>
            <w:r>
              <w:rPr>
                <w:rFonts w:ascii="Arial" w:cs="Arial" w:eastAsia="Arial" w:hAnsi="Arial"/>
                <w:b/>
                <w:bCs/>
                <w:color w:val="3C4657"/>
                <w:sz w:val="18"/>
                <w:szCs w:val="18"/>
              </w:rPr>
              <w:t xml:space="preserve">Read: </w:t>
            </w:r>
            <w:r>
              <w:rPr>
                <w:rFonts w:ascii="Arial" w:cs="Arial" w:eastAsia="Arial" w:hAnsi="Arial"/>
                <w:color w:val="3C4657"/>
                <w:sz w:val="18"/>
                <w:szCs w:val="18"/>
              </w:rPr>
              <w:t xml:space="preserve">the paid pilots are the evidence. The LOIs are a measure of interest in a product that does not yet legally exist, and are graded C for that reason.</w:t>
            </w:r>
          </w:p>
        </w:tc>
      </w:tr>
    </w:tbl>
    <w:p>
      <w:pPr>
        <w:spacing w:after="160"/>
      </w:pPr>
    </w:p>
    <w:p>
      <w:pPr>
        <w:pStyle w:val="Heading3"/>
        <w:spacing w:after="90" w:before="200"/>
      </w:pPr>
      <w:r>
        <w:rPr>
          <w:rFonts w:ascii="Arial" w:cs="Arial" w:eastAsia="Arial" w:hAnsi="Arial"/>
          <w:b/>
          <w:bCs/>
          <w:color w:val="14181F"/>
          <w:sz w:val="20"/>
          <w:szCs w:val="20"/>
        </w:rPr>
        <w:t xml:space="preserve">5.1 · Unit economics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822"/>
        <w:gridCol w:w="7258"/>
      </w:tblGrid>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Revenue per unit</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Definition of the unit, and current realized price</w:t>
            </w:r>
          </w:p>
        </w:tc>
      </w:tr>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Direct cost per unit</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Today, and at the volume assumed in the model</w:t>
            </w:r>
          </w:p>
        </w:tc>
      </w:tr>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Gross margin</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Today (grade B) and at scale (grade D — state the assumption that moves it)</w:t>
            </w:r>
          </w:p>
        </w:tc>
      </w:tr>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Cost to acquire</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Fully loaded, from the actual closed deals. Sample size matters more than the number.</w:t>
            </w:r>
          </w:p>
        </w:tc>
      </w:tr>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Sales cycle</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First contact to signature, observed range across closed deals</w:t>
            </w:r>
          </w:p>
        </w:tc>
      </w:tr>
    </w:tbl>
    <w:p>
      <w:pPr>
        <w:pStyle w:val="Heading1"/>
        <w:pageBreakBefore/>
        <w:pBdr>
          <w:bottom w:val="single" w:color="D4521A" w:sz="8" w:space="6"/>
        </w:pBdr>
        <w:spacing w:after="60" w:before="0"/>
      </w:pPr>
      <w:r>
        <w:rPr>
          <w:rFonts w:ascii="Arial" w:cs="Arial" w:eastAsia="Arial" w:hAnsi="Arial"/>
          <w:b/>
          <w:bCs/>
          <w:color w:val="14181F"/>
          <w:sz w:val="30"/>
          <w:szCs w:val="30"/>
        </w:rPr>
        <w:t xml:space="preserve">Section 06 · Team</w:t>
      </w:r>
    </w:p>
    <w:p>
      <w:pPr>
        <w:spacing w:after="14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016"/>
        <w:gridCol w:w="1814"/>
        <w:gridCol w:w="1411"/>
        <w:gridCol w:w="4838"/>
      </w:tblGrid>
      <w:tr>
        <w:trPr>
          <w:tblHeader/>
        </w:trPr>
        <w:tc>
          <w:tcPr>
            <w:tcW w:type="dxa" w:w="2016"/>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Person</w:t>
            </w:r>
          </w:p>
        </w:tc>
        <w:tc>
          <w:tcPr>
            <w:tcW w:type="dxa" w:w="1814"/>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Role</w:t>
            </w:r>
          </w:p>
        </w:tc>
        <w:tc>
          <w:tcPr>
            <w:tcW w:type="dxa" w:w="1411"/>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Commitment</w:t>
            </w:r>
          </w:p>
        </w:tc>
        <w:tc>
          <w:tcPr>
            <w:tcW w:type="dxa" w:w="4838"/>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The specific reason this person can do this specific job</w:t>
            </w:r>
          </w:p>
        </w:tc>
      </w:tr>
      <w:tr>
        <w:tc>
          <w:tcPr>
            <w:tcW w:type="dxa" w:w="201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CEO</w:t>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FT / PT %</w:t>
            </w:r>
          </w:p>
        </w:tc>
        <w:tc>
          <w:tcPr>
            <w:tcW w:type="dxa" w:w="483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Not a résumé. The prior experience that maps onto this problem.</w:t>
            </w:r>
          </w:p>
        </w:tc>
      </w:tr>
      <w:tr>
        <w:tc>
          <w:tcPr>
            <w:tcW w:type="dxa" w:w="201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CTO / Scientific lead</w:t>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FT / PT %</w:t>
            </w:r>
          </w:p>
        </w:tc>
        <w:tc>
          <w:tcPr>
            <w:tcW w:type="dxa" w:w="483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201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483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bl>
    <w:p>
      <w:pPr>
        <w:pStyle w:val="ListParagraph"/>
        <w:numPr>
          <w:ilvl w:val="0"/>
          <w:numId w:val="3"/>
        </w:numPr>
        <w:spacing w:after="80" w:line="280"/>
      </w:pPr>
      <w:r>
        <w:rPr>
          <w:rFonts w:ascii="Arial" w:cs="Arial" w:eastAsia="Arial" w:hAnsi="Arial"/>
          <w:b/>
          <w:bCs/>
          <w:color w:val="14181F"/>
          <w:sz w:val="20"/>
          <w:szCs w:val="20"/>
        </w:rPr>
        <w:t xml:space="preserve">Part-time founders. </w:t>
      </w:r>
      <w:r>
        <w:rPr>
          <w:rFonts w:ascii="Arial" w:cs="Arial" w:eastAsia="Arial" w:hAnsi="Arial"/>
          <w:color w:val="14181F"/>
          <w:sz w:val="20"/>
          <w:szCs w:val="20"/>
        </w:rPr>
        <w:t xml:space="preserve">If a key founder retains an academic or corporate position, state the terms, the institution’s IP claim, and the date full-time status begins. This is the most common quiet risk in research-origin companies.</w:t>
      </w:r>
    </w:p>
    <w:p>
      <w:pPr>
        <w:pStyle w:val="ListParagraph"/>
        <w:numPr>
          <w:ilvl w:val="0"/>
          <w:numId w:val="3"/>
        </w:numPr>
        <w:spacing w:after="80" w:line="280"/>
      </w:pPr>
      <w:r>
        <w:rPr>
          <w:rFonts w:ascii="Arial" w:cs="Arial" w:eastAsia="Arial" w:hAnsi="Arial"/>
          <w:b/>
          <w:bCs/>
          <w:color w:val="14181F"/>
          <w:sz w:val="20"/>
          <w:szCs w:val="20"/>
        </w:rPr>
        <w:t xml:space="preserve">The gap. </w:t>
      </w:r>
      <w:r>
        <w:rPr>
          <w:rFonts w:ascii="Arial" w:cs="Arial" w:eastAsia="Arial" w:hAnsi="Arial"/>
          <w:color w:val="14181F"/>
          <w:sz w:val="20"/>
          <w:szCs w:val="20"/>
        </w:rPr>
        <w:t xml:space="preserve">Name the one hire that most changes the probability of success, the timeline to make it, and whether the round funds it.</w:t>
      </w:r>
    </w:p>
    <w:p>
      <w:pPr>
        <w:pStyle w:val="ListParagraph"/>
        <w:numPr>
          <w:ilvl w:val="0"/>
          <w:numId w:val="3"/>
        </w:numPr>
        <w:spacing w:after="80" w:line="280"/>
      </w:pPr>
      <w:r>
        <w:rPr>
          <w:rFonts w:ascii="Arial" w:cs="Arial" w:eastAsia="Arial" w:hAnsi="Arial"/>
          <w:b/>
          <w:bCs/>
          <w:color w:val="14181F"/>
          <w:sz w:val="20"/>
          <w:szCs w:val="20"/>
        </w:rPr>
        <w:t xml:space="preserve">Reference calls. </w:t>
      </w:r>
      <w:r>
        <w:rPr>
          <w:rFonts w:ascii="Arial" w:cs="Arial" w:eastAsia="Arial" w:hAnsi="Arial"/>
          <w:color w:val="14181F"/>
          <w:sz w:val="20"/>
          <w:szCs w:val="20"/>
        </w:rPr>
        <w:t xml:space="preserve">Who was called, their relationship to the founder, and the substance — including anything that gave pause. A reference section with no reservations in it was not a reference process.</w:t>
      </w:r>
    </w:p>
    <w:p>
      <w:pPr>
        <w:pStyle w:val="Heading1"/>
        <w:pBdr>
          <w:bottom w:val="single" w:color="D4521A" w:sz="8" w:space="6"/>
        </w:pBdr>
        <w:spacing w:after="60" w:before="400"/>
      </w:pPr>
      <w:r>
        <w:rPr>
          <w:rFonts w:ascii="Arial" w:cs="Arial" w:eastAsia="Arial" w:hAnsi="Arial"/>
          <w:b/>
          <w:bCs/>
          <w:color w:val="14181F"/>
          <w:sz w:val="30"/>
          <w:szCs w:val="30"/>
        </w:rPr>
        <w:t xml:space="preserve">Section 07 · Capital structure and terms</w:t>
      </w:r>
    </w:p>
    <w:p>
      <w:pPr>
        <w:spacing w:after="14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822"/>
        <w:gridCol w:w="7258"/>
      </w:tblGrid>
      <w:tr>
        <w:trPr>
          <w:tblHeader/>
        </w:trPr>
        <w:tc>
          <w:tcPr>
            <w:tcW w:type="dxa" w:w="2822"/>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Item</w:t>
            </w:r>
          </w:p>
        </w:tc>
        <w:tc>
          <w:tcPr>
            <w:tcW w:type="dxa" w:w="7258"/>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Detail</w:t>
            </w:r>
          </w:p>
        </w:tc>
      </w:tr>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Instruments outstanding</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Every SAFE, note, and priced round — with caps, discounts, and MFN provisions. MFN webs compound; model them.</w:t>
            </w:r>
          </w:p>
        </w:tc>
      </w:tr>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Fully diluted today</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Including the option pool, and stating whether the pool is pre- or post-money in this round</w:t>
            </w:r>
          </w:p>
        </w:tc>
      </w:tr>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Post-close ownership</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Founders / employees / prior investors / this investment / pool</w:t>
            </w:r>
          </w:p>
        </w:tc>
      </w:tr>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Modeled ownership at exit</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Grade D. State the number of future rounds and dilution per round assumed.</w:t>
            </w:r>
          </w:p>
        </w:tc>
      </w:tr>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Governance</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Board composition post-close, protective provisions, information rights</w:t>
            </w:r>
          </w:p>
        </w:tc>
      </w:tr>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Non-standard terms</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Anything a later lead would ask to remove. Say so now.</w:t>
            </w:r>
          </w:p>
        </w:tc>
      </w:tr>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Federal funding eligibility</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Where SBIR/STTR or other federal channels apply: US-ownership certification status and whether this round's structure preserves it</w:t>
            </w:r>
          </w:p>
        </w:tc>
      </w:tr>
    </w:tbl>
    <w:p>
      <w:pPr>
        <w:pStyle w:val="Heading1"/>
        <w:pageBreakBefore/>
        <w:pBdr>
          <w:bottom w:val="single" w:color="D4521A" w:sz="8" w:space="6"/>
        </w:pBdr>
        <w:spacing w:after="60" w:before="0"/>
      </w:pPr>
      <w:r>
        <w:rPr>
          <w:rFonts w:ascii="Arial" w:cs="Arial" w:eastAsia="Arial" w:hAnsi="Arial"/>
          <w:b/>
          <w:bCs/>
          <w:color w:val="14181F"/>
          <w:sz w:val="30"/>
          <w:szCs w:val="30"/>
        </w:rPr>
        <w:t xml:space="preserve">Section 08 · Non-dilutive capital</w:t>
      </w:r>
    </w:p>
    <w:p>
      <w:pPr>
        <w:spacing w:after="140"/>
      </w:pPr>
    </w:p>
    <w:p>
      <w:pPr>
        <w:spacing w:after="160" w:before="0" w:line="280"/>
      </w:pPr>
      <w:r>
        <w:rPr>
          <w:rFonts w:ascii="Arial" w:cs="Arial" w:eastAsia="Arial" w:hAnsi="Arial"/>
          <w:i/>
          <w:iCs/>
          <w:color w:val="6B7688"/>
          <w:sz w:val="17"/>
          <w:szCs w:val="17"/>
        </w:rPr>
        <w:t xml:space="preserve">Mapped funding pathways are unsecured until awarded or contracted. They are never counted as capital in the base case.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613"/>
        <w:gridCol w:w="2621"/>
        <w:gridCol w:w="1411"/>
        <w:gridCol w:w="4435"/>
      </w:tblGrid>
      <w:tr>
        <w:trPr>
          <w:tblHeader/>
        </w:trPr>
        <w:tc>
          <w:tcPr>
            <w:tcW w:type="dxa" w:w="1613"/>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Tier</w:t>
            </w:r>
          </w:p>
        </w:tc>
        <w:tc>
          <w:tcPr>
            <w:tcW w:type="dxa" w:w="2621"/>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Program or channel</w:t>
            </w:r>
          </w:p>
        </w:tc>
        <w:tc>
          <w:tcPr>
            <w:tcW w:type="dxa" w:w="1411"/>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Status</w:t>
            </w:r>
          </w:p>
        </w:tc>
        <w:tc>
          <w:tcPr>
            <w:tcW w:type="dxa" w:w="4435"/>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Amount · next deadline · eligibility gate</w:t>
            </w:r>
          </w:p>
        </w:tc>
      </w:tr>
      <w:tr>
        <w:tc>
          <w:tcPr>
            <w:tcW w:type="dxa" w:w="1613"/>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1 · Pursue now</w:t>
            </w:r>
          </w:p>
        </w:tc>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Live, eligible, deadline inside the runway</w:t>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Mapped</w:t>
            </w:r>
          </w:p>
        </w:tc>
        <w:tc>
          <w:tcPr>
            <w:tcW w:type="dxa" w:w="4435"/>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1613"/>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2 · Line up next</w:t>
            </w:r>
          </w:p>
        </w:tc>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Eligible after a named milestone</w:t>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Mapped</w:t>
            </w:r>
          </w:p>
        </w:tc>
        <w:tc>
          <w:tcPr>
            <w:tcW w:type="dxa" w:w="4435"/>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1613"/>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3 · Strategic</w:t>
            </w:r>
          </w:p>
        </w:tc>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Requires a data package the company does not yet have</w:t>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Mapped</w:t>
            </w:r>
          </w:p>
        </w:tc>
        <w:tc>
          <w:tcPr>
            <w:tcW w:type="dxa" w:w="4435"/>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1613"/>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Secured</w:t>
            </w:r>
          </w:p>
        </w:tc>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Awarded or contracted — only this row counts as capital</w:t>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Secured</w:t>
            </w:r>
          </w:p>
        </w:tc>
        <w:tc>
          <w:tcPr>
            <w:tcW w:type="dxa" w:w="4435"/>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bl>
    <w:p>
      <w:pPr>
        <w:spacing w:after="160" w:before="0" w:line="280"/>
      </w:pPr>
      <w:r>
        <w:rPr>
          <w:rFonts w:ascii="Arial" w:cs="Arial" w:eastAsia="Arial" w:hAnsi="Arial"/>
          <w:i/>
          <w:iCs/>
          <w:color w:val="6B7688"/>
          <w:sz w:val="17"/>
          <w:szCs w:val="17"/>
        </w:rPr>
        <w:t xml:space="preserve">Every map is dated and rebuilt per deal; appropriations status and program resets change quarterly. Record the date of the map, not just its contents.</w:t>
      </w:r>
    </w:p>
    <w:p>
      <w:pPr>
        <w:pStyle w:val="Heading1"/>
        <w:pBdr>
          <w:bottom w:val="single" w:color="D4521A" w:sz="8" w:space="6"/>
        </w:pBdr>
        <w:spacing w:after="60" w:before="400"/>
      </w:pPr>
      <w:r>
        <w:rPr>
          <w:rFonts w:ascii="Arial" w:cs="Arial" w:eastAsia="Arial" w:hAnsi="Arial"/>
          <w:b/>
          <w:bCs/>
          <w:color w:val="14181F"/>
          <w:sz w:val="30"/>
          <w:szCs w:val="30"/>
        </w:rPr>
        <w:t xml:space="preserve">Section 09 · Plan, milestones, and instrumentation</w:t>
      </w:r>
    </w:p>
    <w:p>
      <w:pPr>
        <w:spacing w:after="14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411"/>
        <w:gridCol w:w="1814"/>
        <w:gridCol w:w="4435"/>
      </w:tblGrid>
      <w:tr>
        <w:trPr>
          <w:tblHeader/>
        </w:trPr>
        <w:tc>
          <w:tcPr>
            <w:tcW w:type="dxa" w:w="2419"/>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Milestone</w:t>
            </w:r>
          </w:p>
        </w:tc>
        <w:tc>
          <w:tcPr>
            <w:tcW w:type="dxa" w:w="1411"/>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Target date</w:t>
            </w:r>
          </w:p>
        </w:tc>
        <w:tc>
          <w:tcPr>
            <w:tcW w:type="dxa" w:w="1814"/>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Cost to reach</w:t>
            </w:r>
          </w:p>
        </w:tc>
        <w:tc>
          <w:tcPr>
            <w:tcW w:type="dxa" w:w="4435"/>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Evidence that it happened · who verifies</w:t>
            </w:r>
          </w:p>
        </w:tc>
      </w:tr>
      <w:tr>
        <w:tc>
          <w:tcPr>
            <w:tcW w:type="dxa" w:w="241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The value inflection this round buys</w:t>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4435"/>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Instrumented so the next round is provable, not narrated</w:t>
            </w:r>
          </w:p>
        </w:tc>
      </w:tr>
      <w:tr>
        <w:tc>
          <w:tcPr>
            <w:tcW w:type="dxa" w:w="241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4435"/>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241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4435"/>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822"/>
        <w:gridCol w:w="7258"/>
      </w:tblGrid>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Runway at close</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Months, at the planned burn — and at the burn actually run over the last two quarters, if different.</w:t>
            </w:r>
          </w:p>
        </w:tc>
      </w:tr>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Next round</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Target size, target date, and the specific evidence a lead will require. If the plan does not produce that evidence, the plan is wrong.</w:t>
            </w:r>
          </w:p>
        </w:tc>
      </w:tr>
    </w:tbl>
    <w:p>
      <w:pPr>
        <w:pStyle w:val="Heading1"/>
        <w:pageBreakBefore/>
        <w:pBdr>
          <w:bottom w:val="single" w:color="D4521A" w:sz="8" w:space="6"/>
        </w:pBdr>
        <w:spacing w:after="60" w:before="0"/>
      </w:pPr>
      <w:r>
        <w:rPr>
          <w:rFonts w:ascii="Arial" w:cs="Arial" w:eastAsia="Arial" w:hAnsi="Arial"/>
          <w:b/>
          <w:bCs/>
          <w:color w:val="14181F"/>
          <w:sz w:val="30"/>
          <w:szCs w:val="30"/>
        </w:rPr>
        <w:t xml:space="preserve">Section 10 · Risks and what kills this</w:t>
      </w:r>
    </w:p>
    <w:p>
      <w:pPr>
        <w:spacing w:after="140"/>
      </w:pPr>
    </w:p>
    <w:p>
      <w:pPr>
        <w:spacing w:after="200" w:before="0" w:line="280"/>
      </w:pPr>
      <w:r>
        <w:rPr>
          <w:rFonts w:ascii="Arial" w:cs="Arial" w:eastAsia="Arial" w:hAnsi="Arial"/>
          <w:color w:val="3C4657"/>
          <w:sz w:val="22"/>
          <w:szCs w:val="22"/>
        </w:rPr>
        <w:t xml:space="preserve">Written adversarially. The author's job in this section is to argue against the recommendation as capably as a competing investor would.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814"/>
        <w:gridCol w:w="1109"/>
        <w:gridCol w:w="1109"/>
        <w:gridCol w:w="2621"/>
        <w:gridCol w:w="3427"/>
      </w:tblGrid>
      <w:tr>
        <w:trPr>
          <w:tblHeader/>
        </w:trPr>
        <w:tc>
          <w:tcPr>
            <w:tcW w:type="dxa" w:w="1814"/>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Risk</w:t>
            </w:r>
          </w:p>
        </w:tc>
        <w:tc>
          <w:tcPr>
            <w:tcW w:type="dxa" w:w="1109"/>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Likelihood</w:t>
            </w:r>
          </w:p>
        </w:tc>
        <w:tc>
          <w:tcPr>
            <w:tcW w:type="dxa" w:w="1109"/>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Severity</w:t>
            </w:r>
          </w:p>
        </w:tc>
        <w:tc>
          <w:tcPr>
            <w:tcW w:type="dxa" w:w="2621"/>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Leading indicator</w:t>
            </w:r>
          </w:p>
        </w:tc>
        <w:tc>
          <w:tcPr>
            <w:tcW w:type="dxa" w:w="3427"/>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Mitigation · or acceptance</w:t>
            </w:r>
          </w:p>
        </w:tc>
      </w:tr>
      <w:tr>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Technical</w:t>
            </w:r>
          </w:p>
        </w:tc>
        <w:tc>
          <w:tcPr>
            <w:tcW w:type="dxa" w:w="110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H/M/L</w:t>
            </w:r>
          </w:p>
        </w:tc>
        <w:tc>
          <w:tcPr>
            <w:tcW w:type="dxa" w:w="110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H/M/L</w:t>
            </w:r>
          </w:p>
        </w:tc>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What we would see first if this is going wrong</w:t>
            </w:r>
          </w:p>
        </w:tc>
        <w:tc>
          <w:tcPr>
            <w:tcW w:type="dxa" w:w="3427"/>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Some risks are accepted, not mitigated. Say which.</w:t>
            </w:r>
          </w:p>
        </w:tc>
      </w:tr>
      <w:tr>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Market / adoption</w:t>
            </w:r>
          </w:p>
        </w:tc>
        <w:tc>
          <w:tcPr>
            <w:tcW w:type="dxa" w:w="110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10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427"/>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Regulatory</w:t>
            </w:r>
          </w:p>
        </w:tc>
        <w:tc>
          <w:tcPr>
            <w:tcW w:type="dxa" w:w="110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10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427"/>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Team / key person</w:t>
            </w:r>
          </w:p>
        </w:tc>
        <w:tc>
          <w:tcPr>
            <w:tcW w:type="dxa" w:w="110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10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427"/>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Financing</w:t>
            </w:r>
          </w:p>
        </w:tc>
        <w:tc>
          <w:tcPr>
            <w:tcW w:type="dxa" w:w="110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10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427"/>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Competitive</w:t>
            </w:r>
          </w:p>
        </w:tc>
        <w:tc>
          <w:tcPr>
            <w:tcW w:type="dxa" w:w="110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10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427"/>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bl>
    <w:p>
      <w:pPr>
        <w:pStyle w:val="Heading3"/>
        <w:spacing w:after="90" w:before="200"/>
      </w:pPr>
      <w:r>
        <w:rPr>
          <w:rFonts w:ascii="Arial" w:cs="Arial" w:eastAsia="Arial" w:hAnsi="Arial"/>
          <w:b/>
          <w:bCs/>
          <w:color w:val="14181F"/>
          <w:sz w:val="20"/>
          <w:szCs w:val="20"/>
        </w:rPr>
        <w:t xml:space="preserve">10.1 · The bear case</w:t>
      </w:r>
    </w:p>
    <w:p>
      <w:pPr>
        <w:spacing w:after="160" w:before="0" w:line="280"/>
      </w:pPr>
      <w:r>
        <w:rPr>
          <w:rFonts w:ascii="Arial" w:cs="Arial" w:eastAsia="Arial" w:hAnsi="Arial"/>
          <w:i/>
          <w:iCs/>
          <w:color w:val="6B7688"/>
          <w:sz w:val="17"/>
          <w:szCs w:val="17"/>
        </w:rPr>
        <w:t xml:space="preserve">One paragraph. The most credible version of why a thoughtful investor passes on this. Not a strawman.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DDE5" w:sz="1"/>
              <w:left w:val="single" w:color="D4521A" w:sz="14"/>
              <w:bottom w:val="single" w:color="D8DDE5" w:sz="1"/>
              <w:right w:val="single" w:color="D8DDE5" w:sz="1"/>
            </w:tcBorders>
            <w:shd w:fill="F6F7F9" w:val="clear"/>
            <w:tcMar>
              <w:top w:type="dxa" w:w="150"/>
              <w:left w:type="dxa" w:w="180"/>
              <w:bottom w:type="dxa" w:w="120"/>
              <w:right w:type="dxa" w:w="180"/>
            </w:tcMar>
          </w:tcPr>
          <w:p>
            <w:pPr>
              <w:spacing w:after="70" w:before="0" w:line="280"/>
            </w:pPr>
            <w:r>
              <w:rPr>
                <w:rFonts w:ascii="Arial" w:cs="Arial" w:eastAsia="Arial" w:hAnsi="Arial"/>
                <w:b/>
                <w:bCs/>
                <w:caps/>
                <w:color w:val="A83E12"/>
                <w:spacing w:val="22"/>
                <w:sz w:val="15"/>
                <w:szCs w:val="15"/>
              </w:rPr>
              <w:t xml:space="preserve"/>
            </w:r>
          </w:p>
          <w:p>
            <w:pPr>
              <w:pBdr>
                <w:bottom w:val="dotted" w:color="9AA3B2" w:sz="4" w:space="2"/>
              </w:pBdr>
              <w:spacing w:after="110"/>
            </w:pPr>
            <w:r>
              <w:rPr>
                <w:rFonts w:ascii="Arial" w:cs="Arial" w:eastAsia="Arial" w:hAnsi="Arial"/>
                <w:color w:val="14181F"/>
                <w:sz w:val="20"/>
                <w:szCs w:val="20"/>
              </w:rPr>
              <w:t xml:space="preserve"/>
            </w:r>
          </w:p>
          <w:p>
            <w:pPr>
              <w:pBdr>
                <w:bottom w:val="dotted" w:color="9AA3B2" w:sz="4" w:space="2"/>
              </w:pBdr>
              <w:spacing w:after="110"/>
            </w:pPr>
            <w:r>
              <w:rPr>
                <w:rFonts w:ascii="Arial" w:cs="Arial" w:eastAsia="Arial" w:hAnsi="Arial"/>
                <w:color w:val="14181F"/>
                <w:sz w:val="20"/>
                <w:szCs w:val="20"/>
              </w:rPr>
              <w:t xml:space="preserve"/>
            </w:r>
          </w:p>
          <w:p>
            <w:pPr>
              <w:pBdr>
                <w:bottom w:val="dotted" w:color="9AA3B2" w:sz="4" w:space="2"/>
              </w:pBdr>
              <w:spacing w:after="110"/>
            </w:pPr>
            <w:r>
              <w:rPr>
                <w:rFonts w:ascii="Arial" w:cs="Arial" w:eastAsia="Arial" w:hAnsi="Arial"/>
                <w:color w:val="14181F"/>
                <w:sz w:val="20"/>
                <w:szCs w:val="20"/>
              </w:rPr>
              <w:t xml:space="preserve"/>
            </w:r>
          </w:p>
        </w:tc>
      </w:tr>
    </w:tbl>
    <w:p>
      <w:pPr>
        <w:pStyle w:val="Heading3"/>
        <w:spacing w:after="90" w:before="200"/>
      </w:pPr>
      <w:r>
        <w:rPr>
          <w:rFonts w:ascii="Arial" w:cs="Arial" w:eastAsia="Arial" w:hAnsi="Arial"/>
          <w:b/>
          <w:bCs/>
          <w:color w:val="14181F"/>
          <w:sz w:val="20"/>
          <w:szCs w:val="20"/>
        </w:rPr>
        <w:t xml:space="preserve">10.2 · What would change the recommendation</w:t>
      </w:r>
    </w:p>
    <w:p>
      <w:pPr>
        <w:spacing w:after="160" w:before="0" w:line="280"/>
      </w:pPr>
      <w:r>
        <w:rPr>
          <w:rFonts w:ascii="Arial" w:cs="Arial" w:eastAsia="Arial" w:hAnsi="Arial"/>
          <w:i/>
          <w:iCs/>
          <w:color w:val="6B7688"/>
          <w:sz w:val="17"/>
          <w:szCs w:val="17"/>
        </w:rPr>
        <w:t xml:space="preserve">Two or three specific observations that would flip a proceed to a decline, or the reverse. Naming these in advance is what makes the memo checkable later.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DDE5" w:sz="1"/>
              <w:left w:val="single" w:color="D4521A" w:sz="14"/>
              <w:bottom w:val="single" w:color="D8DDE5" w:sz="1"/>
              <w:right w:val="single" w:color="D8DDE5" w:sz="1"/>
            </w:tcBorders>
            <w:shd w:fill="F6F7F9" w:val="clear"/>
            <w:tcMar>
              <w:top w:type="dxa" w:w="150"/>
              <w:left w:type="dxa" w:w="180"/>
              <w:bottom w:type="dxa" w:w="120"/>
              <w:right w:type="dxa" w:w="180"/>
            </w:tcMar>
          </w:tcPr>
          <w:p>
            <w:pPr>
              <w:spacing w:after="70" w:before="0" w:line="280"/>
            </w:pPr>
            <w:r>
              <w:rPr>
                <w:rFonts w:ascii="Arial" w:cs="Arial" w:eastAsia="Arial" w:hAnsi="Arial"/>
                <w:b/>
                <w:bCs/>
                <w:caps/>
                <w:color w:val="A83E12"/>
                <w:spacing w:val="22"/>
                <w:sz w:val="15"/>
                <w:szCs w:val="15"/>
              </w:rPr>
              <w:t xml:space="preserve"/>
            </w:r>
          </w:p>
          <w:p>
            <w:pPr>
              <w:pBdr>
                <w:bottom w:val="dotted" w:color="9AA3B2" w:sz="4" w:space="2"/>
              </w:pBdr>
              <w:spacing w:after="110"/>
            </w:pPr>
            <w:r>
              <w:rPr>
                <w:rFonts w:ascii="Arial" w:cs="Arial" w:eastAsia="Arial" w:hAnsi="Arial"/>
                <w:color w:val="14181F"/>
                <w:sz w:val="20"/>
                <w:szCs w:val="20"/>
              </w:rPr>
              <w:t xml:space="preserve"/>
            </w:r>
          </w:p>
          <w:p>
            <w:pPr>
              <w:pBdr>
                <w:bottom w:val="dotted" w:color="9AA3B2" w:sz="4" w:space="2"/>
              </w:pBdr>
              <w:spacing w:after="110"/>
            </w:pPr>
            <w:r>
              <w:rPr>
                <w:rFonts w:ascii="Arial" w:cs="Arial" w:eastAsia="Arial" w:hAnsi="Arial"/>
                <w:color w:val="14181F"/>
                <w:sz w:val="20"/>
                <w:szCs w:val="20"/>
              </w:rPr>
              <w:t xml:space="preserve"/>
            </w:r>
          </w:p>
        </w:tc>
      </w:tr>
    </w:tbl>
    <w:p>
      <w:pPr>
        <w:pStyle w:val="Heading1"/>
        <w:pageBreakBefore/>
        <w:pBdr>
          <w:bottom w:val="single" w:color="D4521A" w:sz="8" w:space="6"/>
        </w:pBdr>
        <w:spacing w:after="60" w:before="0"/>
      </w:pPr>
      <w:r>
        <w:rPr>
          <w:rFonts w:ascii="Arial" w:cs="Arial" w:eastAsia="Arial" w:hAnsi="Arial"/>
          <w:b/>
          <w:bCs/>
          <w:color w:val="14181F"/>
          <w:sz w:val="30"/>
          <w:szCs w:val="30"/>
        </w:rPr>
        <w:t xml:space="preserve">Section 11 · Conflicts and disclosures</w:t>
      </w:r>
    </w:p>
    <w:p>
      <w:pPr>
        <w:spacing w:after="140"/>
      </w:pPr>
    </w:p>
    <w:p>
      <w:pPr>
        <w:pStyle w:val="ListParagraph"/>
        <w:numPr>
          <w:ilvl w:val="0"/>
          <w:numId w:val="4"/>
        </w:numPr>
        <w:spacing w:after="80" w:line="280"/>
      </w:pPr>
      <w:r>
        <w:rPr>
          <w:rFonts w:ascii="Arial" w:cs="Arial" w:eastAsia="Arial" w:hAnsi="Arial"/>
          <w:color w:val="14181F"/>
          <w:sz w:val="20"/>
          <w:szCs w:val="20"/>
        </w:rPr>
        <w:t xml:space="preserve">Any relationship between the author, the firm, and the company or its principals.</w:t>
      </w:r>
    </w:p>
    <w:p>
      <w:pPr>
        <w:pStyle w:val="ListParagraph"/>
        <w:numPr>
          <w:ilvl w:val="0"/>
          <w:numId w:val="4"/>
        </w:numPr>
        <w:spacing w:after="80" w:line="280"/>
      </w:pPr>
      <w:r>
        <w:rPr>
          <w:rFonts w:ascii="Arial" w:cs="Arial" w:eastAsia="Arial" w:hAnsi="Arial"/>
          <w:color w:val="14181F"/>
          <w:sz w:val="20"/>
          <w:szCs w:val="20"/>
        </w:rPr>
        <w:t xml:space="preserve">Any service, fee, or equity arrangement between the firm and the company outside this investment — including studio or advisory compensation, and any warrant or earned-equity structure.</w:t>
      </w:r>
    </w:p>
    <w:p>
      <w:pPr>
        <w:pStyle w:val="ListParagraph"/>
        <w:numPr>
          <w:ilvl w:val="0"/>
          <w:numId w:val="4"/>
        </w:numPr>
        <w:spacing w:after="80" w:line="280"/>
      </w:pPr>
      <w:r>
        <w:rPr>
          <w:rFonts w:ascii="Arial" w:cs="Arial" w:eastAsia="Arial" w:hAnsi="Arial"/>
          <w:color w:val="14181F"/>
          <w:sz w:val="20"/>
          <w:szCs w:val="20"/>
        </w:rPr>
        <w:t xml:space="preserve">Any co-investor relationship that affects the price or the pace of this decision.</w:t>
      </w:r>
    </w:p>
    <w:p>
      <w:pPr>
        <w:pStyle w:val="ListParagraph"/>
        <w:numPr>
          <w:ilvl w:val="0"/>
          <w:numId w:val="4"/>
        </w:numPr>
        <w:spacing w:after="80" w:line="280"/>
      </w:pPr>
      <w:r>
        <w:rPr>
          <w:rFonts w:ascii="Arial" w:cs="Arial" w:eastAsia="Arial" w:hAnsi="Arial"/>
          <w:color w:val="14181F"/>
          <w:sz w:val="20"/>
          <w:szCs w:val="20"/>
        </w:rPr>
        <w:t xml:space="preserve">Whether an outside lead set the price. Where the firm both prices and participates, say so explicitly.</w:t>
      </w:r>
    </w:p>
    <w:p>
      <w:pPr>
        <w:pStyle w:val="Heading1"/>
        <w:pBdr>
          <w:bottom w:val="single" w:color="D4521A" w:sz="8" w:space="6"/>
        </w:pBdr>
        <w:spacing w:after="60" w:before="400"/>
      </w:pPr>
      <w:r>
        <w:rPr>
          <w:rFonts w:ascii="Arial" w:cs="Arial" w:eastAsia="Arial" w:hAnsi="Arial"/>
          <w:b/>
          <w:bCs/>
          <w:color w:val="14181F"/>
          <w:sz w:val="30"/>
          <w:szCs w:val="30"/>
        </w:rPr>
        <w:t xml:space="preserve">Section 12 · Decision record</w:t>
      </w:r>
    </w:p>
    <w:p>
      <w:pPr>
        <w:spacing w:after="14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822"/>
        <w:gridCol w:w="7258"/>
      </w:tblGrid>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Decision</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Approved · approved with conditions · declined · deferred</w:t>
            </w:r>
          </w:p>
        </w:tc>
      </w:tr>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Date and forum</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Participants</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Names, and any recusals</w:t>
            </w:r>
          </w:p>
        </w:tc>
      </w:tr>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Dissent recorded</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If there was none, say so. A decision record with no dissent ever recorded is not a record.</w:t>
            </w:r>
          </w:p>
        </w:tc>
      </w:tr>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Review trigger</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The date or event at which this memo is re-read against what happened</w:t>
            </w:r>
          </w:p>
        </w:tc>
      </w:tr>
    </w:tbl>
    <w:p>
      <w:pPr>
        <w:pStyle w:val="Heading2"/>
        <w:spacing w:after="120" w:before="300"/>
      </w:pPr>
      <w:r>
        <w:rPr>
          <w:rFonts w:ascii="Arial" w:cs="Arial" w:eastAsia="Arial" w:hAnsi="Arial"/>
          <w:b/>
          <w:bCs/>
          <w:caps/>
          <w:color w:val="A83E12"/>
          <w:spacing w:val="24"/>
          <w:sz w:val="17"/>
          <w:szCs w:val="17"/>
        </w:rPr>
        <w:t xml:space="preserve">Appendices</w:t>
      </w:r>
    </w:p>
    <w:p>
      <w:pPr>
        <w:pStyle w:val="ListParagraph"/>
        <w:numPr>
          <w:ilvl w:val="0"/>
          <w:numId w:val="5"/>
        </w:numPr>
        <w:spacing w:after="80" w:line="280"/>
      </w:pPr>
      <w:r>
        <w:rPr>
          <w:rFonts w:ascii="Arial" w:cs="Arial" w:eastAsia="Arial" w:hAnsi="Arial"/>
          <w:color w:val="14181F"/>
          <w:sz w:val="20"/>
          <w:szCs w:val="20"/>
        </w:rPr>
        <w:t xml:space="preserve">Financial model — assumptions tab first</w:t>
      </w:r>
    </w:p>
    <w:p>
      <w:pPr>
        <w:pStyle w:val="ListParagraph"/>
        <w:numPr>
          <w:ilvl w:val="0"/>
          <w:numId w:val="5"/>
        </w:numPr>
        <w:spacing w:after="80" w:line="280"/>
      </w:pPr>
      <w:r>
        <w:rPr>
          <w:rFonts w:ascii="Arial" w:cs="Arial" w:eastAsia="Arial" w:hAnsi="Arial"/>
          <w:color w:val="14181F"/>
          <w:sz w:val="20"/>
          <w:szCs w:val="20"/>
        </w:rPr>
        <w:t xml:space="preserve">Cap table with instruments attached</w:t>
      </w:r>
    </w:p>
    <w:p>
      <w:pPr>
        <w:pStyle w:val="ListParagraph"/>
        <w:numPr>
          <w:ilvl w:val="0"/>
          <w:numId w:val="5"/>
        </w:numPr>
        <w:spacing w:after="80" w:line="280"/>
      </w:pPr>
      <w:r>
        <w:rPr>
          <w:rFonts w:ascii="Arial" w:cs="Arial" w:eastAsia="Arial" w:hAnsi="Arial"/>
          <w:color w:val="14181F"/>
          <w:sz w:val="20"/>
          <w:szCs w:val="20"/>
        </w:rPr>
        <w:t xml:space="preserve">Customer discovery synthesis</w:t>
      </w:r>
    </w:p>
    <w:p>
      <w:pPr>
        <w:pStyle w:val="ListParagraph"/>
        <w:numPr>
          <w:ilvl w:val="0"/>
          <w:numId w:val="5"/>
        </w:numPr>
        <w:spacing w:after="80" w:line="280"/>
      </w:pPr>
      <w:r>
        <w:rPr>
          <w:rFonts w:ascii="Arial" w:cs="Arial" w:eastAsia="Arial" w:hAnsi="Arial"/>
          <w:color w:val="14181F"/>
          <w:sz w:val="20"/>
          <w:szCs w:val="20"/>
        </w:rPr>
        <w:t xml:space="preserve">Technical validation and any third-party reports</w:t>
      </w:r>
    </w:p>
    <w:p>
      <w:pPr>
        <w:pStyle w:val="ListParagraph"/>
        <w:numPr>
          <w:ilvl w:val="0"/>
          <w:numId w:val="5"/>
        </w:numPr>
        <w:spacing w:after="80" w:line="280"/>
      </w:pPr>
      <w:r>
        <w:rPr>
          <w:rFonts w:ascii="Arial" w:cs="Arial" w:eastAsia="Arial" w:hAnsi="Arial"/>
          <w:color w:val="14181F"/>
          <w:sz w:val="20"/>
          <w:szCs w:val="20"/>
        </w:rPr>
        <w:t xml:space="preserve">IP schedule and license agreements</w:t>
      </w:r>
    </w:p>
    <w:p>
      <w:pPr>
        <w:pStyle w:val="ListParagraph"/>
        <w:numPr>
          <w:ilvl w:val="0"/>
          <w:numId w:val="5"/>
        </w:numPr>
        <w:spacing w:after="80" w:line="280"/>
      </w:pPr>
      <w:r>
        <w:rPr>
          <w:rFonts w:ascii="Arial" w:cs="Arial" w:eastAsia="Arial" w:hAnsi="Arial"/>
          <w:color w:val="14181F"/>
          <w:sz w:val="20"/>
          <w:szCs w:val="20"/>
        </w:rPr>
        <w:t xml:space="preserve">Non-dilutive funding map, dated</w:t>
      </w:r>
    </w:p>
    <w:p>
      <w:pPr>
        <w:pStyle w:val="ListParagraph"/>
        <w:numPr>
          <w:ilvl w:val="0"/>
          <w:numId w:val="5"/>
        </w:numPr>
        <w:spacing w:after="80" w:line="280"/>
      </w:pPr>
      <w:r>
        <w:rPr>
          <w:rFonts w:ascii="Arial" w:cs="Arial" w:eastAsia="Arial" w:hAnsi="Arial"/>
          <w:color w:val="14181F"/>
          <w:sz w:val="20"/>
          <w:szCs w:val="20"/>
        </w:rPr>
        <w:t xml:space="preserve">Reference call notes</w:t>
      </w:r>
    </w:p>
    <w:p>
      <w:pPr>
        <w:pStyle w:val="ListParagraph"/>
        <w:numPr>
          <w:ilvl w:val="0"/>
          <w:numId w:val="5"/>
        </w:numPr>
        <w:spacing w:after="80" w:line="280"/>
      </w:pPr>
      <w:r>
        <w:rPr>
          <w:rFonts w:ascii="Arial" w:cs="Arial" w:eastAsia="Arial" w:hAnsi="Arial"/>
          <w:color w:val="14181F"/>
          <w:sz w:val="20"/>
          <w:szCs w:val="20"/>
        </w:rPr>
        <w:t xml:space="preserve">Data room index (see companion artifact)</w:t>
      </w:r>
    </w:p>
    <w:p>
      <w:pPr>
        <w:spacing w:after="300"/>
      </w:pPr>
    </w:p>
    <w:p>
      <w:pPr>
        <w:pBdr>
          <w:top w:val="single" w:color="D8DDE5" w:sz="1" w:space="8"/>
        </w:pBdr>
        <w:spacing w:after="120"/>
      </w:pPr>
    </w:p>
    <w:p>
      <w:pPr>
        <w:spacing w:after="0" w:before="0" w:line="260"/>
      </w:pPr>
      <w:r>
        <w:rPr>
          <w:rFonts w:ascii="Arial" w:cs="Arial" w:eastAsia="Arial" w:hAnsi="Arial"/>
          <w:b/>
          <w:bCs/>
          <w:color w:val="6B7688"/>
          <w:sz w:val="15"/>
          <w:szCs w:val="15"/>
        </w:rPr>
        <w:t xml:space="preserve">Crucible, by Infinity Forge · Underwriting Memo Skeleton · v1.0 · August 2026. </w:t>
      </w:r>
      <w:r>
        <w:rPr>
          <w:rFonts w:ascii="Arial" w:cs="Arial" w:eastAsia="Arial" w:hAnsi="Arial"/>
          <w:color w:val="9AA3B2"/>
          <w:sz w:val="15"/>
          <w:szCs w:val="15"/>
        </w:rPr>
        <w:t xml:space="preserve">Redacted sample from the Crucible artifact library. Structure is complete and usable; all illustrative content is a composite and does not describe any actual engagement, company, or transaction. Nothing in this document is legal, tax, accounting, or investment advice, and nothing in it constitutes an offer to sell or a solicitation of an offer to buy any security. © 2026 Infinity Forge, LLC. infinityforge.ai</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DDE5" w:sz="1" w:space="4"/>
      </w:pBdr>
    </w:pPr>
    <w:r>
      <w:rPr>
        <w:rFonts w:ascii="Arial" w:cs="Arial" w:eastAsia="Arial" w:hAnsi="Arial"/>
        <w:color w:val="9AA3B2"/>
        <w:spacing w:val="24"/>
        <w:sz w:val="13"/>
        <w:szCs w:val="13"/>
      </w:rPr>
      <w:t xml:space="preserve">INFINITY FORGE  ·  CRUCIBLE  ·  V1.0  ·  AUGUST 2026</w:t>
    </w:r>
    <w:r>
      <w:rPr>
        <w:rFonts w:ascii="Arial" w:cs="Arial" w:eastAsia="Arial" w:hAnsi="Arial"/>
        <w:color w:val="9AA3B2"/>
        <w:sz w:val="13"/>
        <w:szCs w:val="13"/>
      </w:rPr>
      <w:ptab w:alignment="right" w:relativeTo="margin" w:leader="none"/>
      <w:t xml:space="preserve">INFINITYFORGE.AI  ·  </w:t>
    </w:r>
    <w:r>
      <w:rPr>
        <w:rFonts w:ascii="Arial" w:cs="Arial" w:eastAsia="Arial" w:hAnsi="Arial"/>
        <w:color w:val="9AA3B2"/>
        <w:sz w:val="13"/>
        <w:szCs w:val="13"/>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8DDE5" w:sz="1" w:space="4"/>
      </w:pBdr>
      <w:jc w:val="right"/>
    </w:pPr>
    <w:r>
      <w:rPr>
        <w:rFonts w:ascii="Arial" w:cs="Arial" w:eastAsia="Arial" w:hAnsi="Arial"/>
        <w:color w:val="9AA3B2"/>
        <w:spacing w:val="26"/>
        <w:sz w:val="13"/>
        <w:szCs w:val="13"/>
      </w:rPr>
      <w:t xml:space="preserve">CRUCIBLE  ·  UNDERWRITING MEMO SKELETON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260"/>
      </w:pPr>
    </w:lvl>
  </w:abstractNum>
  <w:num w:numId="1">
    <w:abstractNumId w:val="1"/>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4181F"/>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4181F"/>
      <w:sz w:val="30"/>
      <w:szCs w:val="30"/>
    </w:rPr>
  </w:style>
  <w:style w:type="paragraph" w:styleId="Heading2">
    <w:name w:val="Heading 2"/>
    <w:basedOn w:val="Normal"/>
    <w:next w:val="Normal"/>
    <w:qFormat/>
    <w:pPr>
      <w:spacing w:after="120" w:before="300"/>
      <w:outlineLvl w:val="1"/>
    </w:pPr>
    <w:rPr>
      <w:rFonts w:ascii="Arial" w:cs="Arial" w:eastAsia="Arial" w:hAnsi="Arial"/>
      <w:b/>
      <w:bCs/>
      <w:color w:val="A83E12"/>
      <w:sz w:val="17"/>
      <w:szCs w:val="17"/>
    </w:rPr>
  </w:style>
  <w:style w:type="paragraph" w:styleId="Heading3">
    <w:name w:val="Heading 3"/>
    <w:basedOn w:val="Normal"/>
    <w:next w:val="Normal"/>
    <w:qFormat/>
    <w:pPr>
      <w:spacing w:after="90" w:before="200"/>
      <w:outlineLvl w:val="2"/>
    </w:pPr>
    <w:rPr>
      <w:rFonts w:ascii="Arial" w:cs="Arial" w:eastAsia="Arial" w:hAnsi="Arial"/>
      <w:b/>
      <w:bCs/>
      <w:color w:val="14181F"/>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Underwriting Memo Skeleton — Crucible, by Infinity Forge</dc:title>
  <dc:creator>Infinity Forge, LLC</dc:creator>
  <dc:description>Crucible artifact library — redacted sample, editable working copy.</dc:description>
  <cp:lastModifiedBy>Un-named</cp:lastModifiedBy>
  <cp:revision>1</cp:revision>
  <dcterms:created xsi:type="dcterms:W3CDTF">2026-08-12T17:03:25.122Z</dcterms:created>
  <dcterms:modified xsi:type="dcterms:W3CDTF">2026-08-12T17:03:25.124Z</dcterms:modified>
</cp:coreProperties>
</file>

<file path=docProps/custom.xml><?xml version="1.0" encoding="utf-8"?>
<Properties xmlns="http://schemas.openxmlformats.org/officeDocument/2006/custom-properties" xmlns:vt="http://schemas.openxmlformats.org/officeDocument/2006/docPropsVTypes"/>
</file>